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5F0" w:rsidRPr="003245F0" w:rsidRDefault="003245F0" w:rsidP="003245F0">
      <w:pPr>
        <w:tabs>
          <w:tab w:val="left" w:pos="-48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Arial" w:hAnsi="Arial" w:cs="Arial"/>
          <w:b/>
          <w:bCs/>
          <w:color w:val="31849B"/>
        </w:rPr>
      </w:pPr>
      <w:r>
        <w:rPr>
          <w:rFonts w:cs="Arial"/>
          <w:b/>
          <w:bCs/>
          <w:color w:val="31849B"/>
        </w:rPr>
        <w:t>Terms Last Revised: 5/31</w:t>
      </w:r>
      <w:r w:rsidRPr="006F701A">
        <w:rPr>
          <w:rFonts w:ascii="Arial" w:hAnsi="Arial" w:cs="Arial"/>
          <w:b/>
          <w:bCs/>
          <w:color w:val="31849B"/>
        </w:rPr>
        <w:t xml:space="preserve">/2016 </w:t>
      </w:r>
    </w:p>
    <w:p w:rsidR="00B15EC8" w:rsidRPr="00F377AA" w:rsidRDefault="00B4445D">
      <w:p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Century Gothic"/>
          <w:b/>
          <w:bCs/>
          <w:color w:val="000000"/>
        </w:rPr>
      </w:pPr>
      <w:r>
        <w:rPr>
          <w:rFonts w:ascii="Arial" w:hAnsi="Arial" w:cs="Century Gothic"/>
          <w:b/>
          <w:bCs/>
        </w:rPr>
        <w:t>B6</w:t>
      </w:r>
      <w:r w:rsidR="00DC29FA">
        <w:rPr>
          <w:rFonts w:ascii="Arial" w:hAnsi="Arial" w:cs="Century Gothic"/>
          <w:b/>
          <w:bCs/>
        </w:rPr>
        <w:t>T</w:t>
      </w:r>
      <w:r w:rsidR="00B15EC8" w:rsidRPr="00F377AA">
        <w:rPr>
          <w:rFonts w:ascii="Arial" w:hAnsi="Arial" w:cs="Century Gothic"/>
          <w:b/>
          <w:bCs/>
        </w:rPr>
        <w:tab/>
        <w:t xml:space="preserve">Requirements for a coating or printing line </w:t>
      </w:r>
      <w:r>
        <w:rPr>
          <w:rFonts w:ascii="Arial" w:hAnsi="Arial" w:cs="Century Gothic"/>
          <w:b/>
          <w:bCs/>
        </w:rPr>
        <w:t xml:space="preserve">equipped with a </w:t>
      </w:r>
      <w:r w:rsidR="00DC29FA" w:rsidRPr="003245F0">
        <w:rPr>
          <w:rFonts w:ascii="Arial" w:hAnsi="Arial" w:cs="Century Gothic"/>
          <w:b/>
          <w:bCs/>
          <w:color w:val="C00000"/>
        </w:rPr>
        <w:t>thermal oxidizer</w:t>
      </w:r>
      <w:r>
        <w:rPr>
          <w:rFonts w:ascii="Arial" w:hAnsi="Arial" w:cs="Century Gothic"/>
          <w:b/>
          <w:bCs/>
        </w:rPr>
        <w:t xml:space="preserve"> and </w:t>
      </w:r>
      <w:r w:rsidR="00B15EC8" w:rsidRPr="00F377AA">
        <w:rPr>
          <w:rFonts w:ascii="Arial" w:hAnsi="Arial" w:cs="Century Gothic"/>
          <w:b/>
          <w:bCs/>
        </w:rPr>
        <w:t xml:space="preserve">subject to a </w:t>
      </w:r>
      <w:r w:rsidR="00B15EC8" w:rsidRPr="003245F0">
        <w:rPr>
          <w:rFonts w:ascii="Arial" w:hAnsi="Arial" w:cs="Century Gothic"/>
          <w:b/>
          <w:bCs/>
          <w:color w:val="C00000"/>
        </w:rPr>
        <w:t>pounds of VOC per gallon of solids</w:t>
      </w:r>
      <w:r w:rsidR="00B15EC8" w:rsidRPr="00F377AA">
        <w:rPr>
          <w:rFonts w:ascii="Arial" w:hAnsi="Arial" w:cs="Century Gothic"/>
          <w:b/>
          <w:bCs/>
          <w:color w:val="000000"/>
        </w:rPr>
        <w:t xml:space="preserve"> limitation from OAC 3745-21-09</w:t>
      </w:r>
      <w:r>
        <w:rPr>
          <w:rFonts w:ascii="Arial" w:hAnsi="Arial" w:cs="Century Gothic"/>
          <w:b/>
          <w:bCs/>
          <w:color w:val="000000"/>
        </w:rPr>
        <w:t>,</w:t>
      </w:r>
      <w:r w:rsidR="00B15EC8" w:rsidRPr="00F377AA">
        <w:rPr>
          <w:rFonts w:ascii="Arial" w:hAnsi="Arial" w:cs="Century Gothic"/>
          <w:b/>
          <w:bCs/>
          <w:color w:val="000000"/>
        </w:rPr>
        <w:t xml:space="preserve"> as a maximum VOC content or as a daily volume-weighted average</w:t>
      </w:r>
      <w:r w:rsidRPr="00B4445D">
        <w:rPr>
          <w:rFonts w:ascii="Arial" w:hAnsi="Arial" w:cs="Century Gothic"/>
          <w:b/>
          <w:bCs/>
        </w:rPr>
        <w:t xml:space="preserve"> </w:t>
      </w:r>
      <w:r w:rsidRPr="00B4445D">
        <w:rPr>
          <w:rFonts w:ascii="Arial" w:hAnsi="Arial" w:cs="Arial"/>
          <w:b/>
          <w:color w:val="007635"/>
          <w:sz w:val="20"/>
          <w:szCs w:val="20"/>
        </w:rPr>
        <w:t>[OAC rule 3745</w:t>
      </w:r>
      <w:r w:rsidRPr="00B4445D">
        <w:rPr>
          <w:rFonts w:ascii="Arial" w:hAnsi="Arial" w:cs="Arial"/>
          <w:b/>
          <w:color w:val="007635"/>
          <w:sz w:val="20"/>
          <w:szCs w:val="20"/>
        </w:rPr>
        <w:noBreakHyphen/>
        <w:t>21</w:t>
      </w:r>
      <w:r w:rsidRPr="00B4445D">
        <w:rPr>
          <w:rFonts w:ascii="Arial" w:hAnsi="Arial" w:cs="Arial"/>
          <w:b/>
          <w:color w:val="007635"/>
          <w:sz w:val="20"/>
          <w:szCs w:val="20"/>
        </w:rPr>
        <w:noBreakHyphen/>
        <w:t>09(B)(3)(j)]</w:t>
      </w:r>
    </w:p>
    <w:p w:rsidR="00B15EC8" w:rsidRPr="003245F0" w:rsidRDefault="00D87552" w:rsidP="00D87552">
      <w:pPr>
        <w:tabs>
          <w:tab w:val="left" w:pos="-48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hanging="900"/>
        <w:rPr>
          <w:rFonts w:ascii="Arial" w:hAnsi="Arial" w:cs="Century Gothic"/>
          <w:b/>
          <w:bCs/>
          <w:color w:val="365F91" w:themeColor="accent1" w:themeShade="BF"/>
        </w:rPr>
      </w:pPr>
      <w:r w:rsidRPr="003245F0">
        <w:rPr>
          <w:rFonts w:ascii="Arial" w:hAnsi="Arial" w:cs="Century Gothic"/>
          <w:b/>
          <w:bCs/>
          <w:color w:val="C00000"/>
        </w:rPr>
        <w:t>NOTE:</w:t>
      </w:r>
      <w:r w:rsidR="00B4445D" w:rsidRPr="003245F0">
        <w:rPr>
          <w:rFonts w:ascii="Arial" w:hAnsi="Arial" w:cs="Century Gothic"/>
          <w:b/>
          <w:bCs/>
          <w:color w:val="C00000"/>
        </w:rPr>
        <w:tab/>
      </w:r>
      <w:r w:rsidRPr="003245F0">
        <w:rPr>
          <w:rFonts w:ascii="Arial" w:hAnsi="Arial" w:cs="Century Gothic"/>
          <w:b/>
          <w:bCs/>
          <w:color w:val="365F91" w:themeColor="accent1" w:themeShade="BF"/>
        </w:rPr>
        <w:t xml:space="preserve">The </w:t>
      </w:r>
      <w:r w:rsidRPr="003245F0">
        <w:rPr>
          <w:rFonts w:ascii="Arial" w:hAnsi="Arial" w:cs="Century Gothic"/>
          <w:b/>
          <w:bCs/>
          <w:color w:val="365F91" w:themeColor="accent1" w:themeShade="BF"/>
          <w:u w:val="single"/>
        </w:rPr>
        <w:t>parameter monitoring terms</w:t>
      </w:r>
      <w:r w:rsidRPr="003245F0">
        <w:rPr>
          <w:rFonts w:ascii="Arial" w:hAnsi="Arial" w:cs="Century Gothic"/>
          <w:b/>
          <w:bCs/>
          <w:color w:val="365F91" w:themeColor="accent1" w:themeShade="BF"/>
        </w:rPr>
        <w:t xml:space="preserve"> and requirements for the </w:t>
      </w:r>
      <w:r w:rsidR="00B4445D" w:rsidRPr="003245F0">
        <w:rPr>
          <w:rFonts w:ascii="Arial" w:hAnsi="Arial" w:cs="Century Gothic"/>
          <w:b/>
          <w:bCs/>
          <w:color w:val="365F91" w:themeColor="accent1" w:themeShade="BF"/>
        </w:rPr>
        <w:t xml:space="preserve">control device </w:t>
      </w:r>
      <w:r w:rsidRPr="003245F0">
        <w:rPr>
          <w:rFonts w:ascii="Arial" w:hAnsi="Arial" w:cs="Century Gothic"/>
          <w:b/>
          <w:bCs/>
          <w:color w:val="365F91" w:themeColor="accent1" w:themeShade="BF"/>
        </w:rPr>
        <w:t xml:space="preserve">are found in the </w:t>
      </w:r>
      <w:r w:rsidR="00B4445D" w:rsidRPr="003245F0">
        <w:rPr>
          <w:rFonts w:ascii="Arial" w:hAnsi="Arial" w:cs="Century Gothic"/>
          <w:b/>
          <w:bCs/>
          <w:color w:val="365F91" w:themeColor="accent1" w:themeShade="BF"/>
        </w:rPr>
        <w:t xml:space="preserve">parameter monitoring </w:t>
      </w:r>
      <w:r w:rsidRPr="003245F0">
        <w:rPr>
          <w:rFonts w:ascii="Arial" w:hAnsi="Arial" w:cs="Century Gothic"/>
          <w:b/>
          <w:bCs/>
          <w:color w:val="365F91" w:themeColor="accent1" w:themeShade="BF"/>
        </w:rPr>
        <w:t xml:space="preserve">terms </w:t>
      </w:r>
      <w:r w:rsidR="00B4445D" w:rsidRPr="003245F0">
        <w:rPr>
          <w:rFonts w:ascii="Arial" w:hAnsi="Arial" w:cs="Century Gothic"/>
          <w:b/>
          <w:bCs/>
          <w:color w:val="365F91" w:themeColor="accent1" w:themeShade="BF"/>
        </w:rPr>
        <w:t>(“J” terms)</w:t>
      </w:r>
    </w:p>
    <w:p w:rsidR="00B4445D" w:rsidRPr="003245F0" w:rsidRDefault="00B4445D" w:rsidP="00D87552">
      <w:pPr>
        <w:tabs>
          <w:tab w:val="left" w:pos="-48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hanging="900"/>
        <w:rPr>
          <w:rFonts w:ascii="Arial" w:hAnsi="Arial" w:cs="Century Gothic"/>
          <w:b/>
          <w:bCs/>
          <w:color w:val="365F91" w:themeColor="accent1" w:themeShade="BF"/>
        </w:rPr>
      </w:pPr>
      <w:r w:rsidRPr="003245F0">
        <w:rPr>
          <w:rFonts w:ascii="Arial" w:hAnsi="Arial" w:cs="Century Gothic"/>
          <w:b/>
          <w:bCs/>
          <w:color w:val="C00000"/>
        </w:rPr>
        <w:t>Note:</w:t>
      </w:r>
      <w:r w:rsidRPr="00F377AA">
        <w:rPr>
          <w:rFonts w:ascii="Arial" w:hAnsi="Arial" w:cs="Century Gothic"/>
          <w:color w:val="0000FF"/>
        </w:rPr>
        <w:tab/>
      </w:r>
      <w:r w:rsidRPr="003245F0">
        <w:rPr>
          <w:rFonts w:ascii="Arial" w:hAnsi="Arial" w:cs="Century Gothic"/>
          <w:b/>
          <w:bCs/>
          <w:color w:val="365F91" w:themeColor="accent1" w:themeShade="BF"/>
        </w:rPr>
        <w:t xml:space="preserve">For a </w:t>
      </w:r>
      <w:r w:rsidRPr="003245F0">
        <w:rPr>
          <w:rFonts w:ascii="Arial" w:hAnsi="Arial" w:cs="Century Gothic"/>
          <w:b/>
          <w:bCs/>
          <w:color w:val="C00000"/>
        </w:rPr>
        <w:t>printing line</w:t>
      </w:r>
      <w:r w:rsidRPr="003245F0">
        <w:rPr>
          <w:rFonts w:ascii="Arial" w:hAnsi="Arial" w:cs="Century Gothic"/>
          <w:b/>
          <w:bCs/>
          <w:color w:val="365F91" w:themeColor="accent1" w:themeShade="BF"/>
        </w:rPr>
        <w:t xml:space="preserve"> </w:t>
      </w:r>
      <w:r w:rsidR="00F3614C">
        <w:rPr>
          <w:rFonts w:ascii="Arial" w:hAnsi="Arial" w:cs="Century Gothic"/>
          <w:b/>
          <w:bCs/>
          <w:color w:val="365F91" w:themeColor="accent1" w:themeShade="BF"/>
        </w:rPr>
        <w:t>“</w:t>
      </w:r>
      <w:bookmarkStart w:id="0" w:name="_GoBack"/>
      <w:bookmarkEnd w:id="0"/>
      <w:r w:rsidRPr="003245F0">
        <w:rPr>
          <w:rFonts w:ascii="Arial" w:hAnsi="Arial" w:cs="Century Gothic"/>
          <w:b/>
          <w:bCs/>
          <w:color w:val="365F91" w:themeColor="accent1" w:themeShade="BF"/>
        </w:rPr>
        <w:t>coating</w:t>
      </w:r>
      <w:r w:rsidR="00F3614C">
        <w:rPr>
          <w:rFonts w:ascii="Arial" w:hAnsi="Arial" w:cs="Century Gothic"/>
          <w:b/>
          <w:bCs/>
          <w:color w:val="365F91" w:themeColor="accent1" w:themeShade="BF"/>
        </w:rPr>
        <w:t>”</w:t>
      </w:r>
      <w:r w:rsidRPr="003245F0">
        <w:rPr>
          <w:rFonts w:ascii="Arial" w:hAnsi="Arial" w:cs="Century Gothic"/>
          <w:b/>
          <w:bCs/>
          <w:color w:val="365F91" w:themeColor="accent1" w:themeShade="BF"/>
        </w:rPr>
        <w:t xml:space="preserve"> can be changed to </w:t>
      </w:r>
      <w:r w:rsidR="00F3614C">
        <w:rPr>
          <w:rFonts w:ascii="Arial" w:hAnsi="Arial" w:cs="Century Gothic"/>
          <w:b/>
          <w:bCs/>
          <w:color w:val="365F91" w:themeColor="accent1" w:themeShade="BF"/>
        </w:rPr>
        <w:t>“</w:t>
      </w:r>
      <w:r w:rsidRPr="003245F0">
        <w:rPr>
          <w:rFonts w:ascii="Arial" w:hAnsi="Arial" w:cs="Century Gothic"/>
          <w:b/>
          <w:bCs/>
          <w:color w:val="365F91" w:themeColor="accent1" w:themeShade="BF"/>
        </w:rPr>
        <w:t>ink</w:t>
      </w:r>
      <w:r w:rsidR="00F3614C">
        <w:rPr>
          <w:rFonts w:ascii="Arial" w:hAnsi="Arial" w:cs="Century Gothic"/>
          <w:b/>
          <w:bCs/>
          <w:color w:val="365F91" w:themeColor="accent1" w:themeShade="BF"/>
        </w:rPr>
        <w:t>”</w:t>
      </w:r>
      <w:r w:rsidRPr="003245F0">
        <w:rPr>
          <w:rFonts w:ascii="Arial" w:hAnsi="Arial" w:cs="Century Gothic"/>
          <w:b/>
          <w:bCs/>
          <w:color w:val="365F91" w:themeColor="accent1" w:themeShade="BF"/>
        </w:rPr>
        <w:t xml:space="preserve"> and “coating operations” to “printing operations”</w:t>
      </w:r>
    </w:p>
    <w:p w:rsidR="00D87552" w:rsidRPr="00F377AA" w:rsidRDefault="00D87552" w:rsidP="00B15EC8">
      <w:p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rPr>
          <w:rFonts w:ascii="Arial" w:hAnsi="Arial" w:cs="Century Gothic"/>
          <w:b/>
          <w:bCs/>
          <w:color w:val="000000"/>
        </w:rPr>
      </w:pPr>
    </w:p>
    <w:p w:rsidR="00B15EC8" w:rsidRPr="00F377AA" w:rsidRDefault="00AA6A7D" w:rsidP="000F5193">
      <w:pPr>
        <w:tabs>
          <w:tab w:val="left" w:pos="-48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rPr>
          <w:rFonts w:ascii="Arial" w:hAnsi="Arial" w:cs="Century Gothic"/>
          <w:b/>
          <w:bCs/>
          <w:color w:val="000000"/>
        </w:rPr>
      </w:pPr>
      <w:r>
        <w:rPr>
          <w:rFonts w:ascii="Arial" w:hAnsi="Arial" w:cs="Century Gothic"/>
          <w:b/>
          <w:bCs/>
          <w:color w:val="000000"/>
        </w:rPr>
        <w:t>B.6.j</w:t>
      </w:r>
      <w:r w:rsidR="00B15EC8" w:rsidRPr="00F377AA">
        <w:rPr>
          <w:rFonts w:ascii="Arial" w:hAnsi="Arial" w:cs="Century Gothic"/>
          <w:b/>
          <w:bCs/>
          <w:color w:val="000000"/>
        </w:rPr>
        <w:tab/>
      </w:r>
      <w:r w:rsidR="00B15EC8" w:rsidRPr="00F377AA">
        <w:rPr>
          <w:rFonts w:ascii="Arial" w:hAnsi="Arial" w:cs="Century Gothic"/>
          <w:b/>
          <w:bCs/>
          <w:color w:val="800000"/>
          <w:u w:val="single"/>
        </w:rPr>
        <w:t>Additional Terms and Conditions</w:t>
      </w:r>
      <w:r w:rsidR="00B15EC8" w:rsidRPr="00F377AA">
        <w:rPr>
          <w:rFonts w:ascii="Arial" w:hAnsi="Arial" w:cs="Century Gothic"/>
          <w:b/>
          <w:bCs/>
          <w:color w:val="000000"/>
        </w:rPr>
        <w:t xml:space="preserve">, requirements for a coating or printing line subject to a </w:t>
      </w:r>
      <w:r w:rsidR="00B15EC8" w:rsidRPr="003245F0">
        <w:rPr>
          <w:rFonts w:ascii="Arial" w:hAnsi="Arial" w:cs="Century Gothic"/>
          <w:b/>
          <w:bCs/>
          <w:color w:val="C00000"/>
        </w:rPr>
        <w:t>pounds of VOC per gallon of solids</w:t>
      </w:r>
      <w:r w:rsidR="00B15EC8" w:rsidRPr="00F377AA">
        <w:rPr>
          <w:rFonts w:ascii="Arial" w:hAnsi="Arial" w:cs="Century Gothic"/>
          <w:b/>
          <w:bCs/>
          <w:color w:val="000000"/>
        </w:rPr>
        <w:t xml:space="preserve"> limitation as a maximum VOC content or as a daily volume-weighted average, and where the coating line is equipped with a </w:t>
      </w:r>
      <w:r w:rsidR="00B4445D" w:rsidRPr="003245F0">
        <w:rPr>
          <w:rFonts w:ascii="Arial" w:hAnsi="Arial" w:cs="Century Gothic"/>
          <w:b/>
          <w:bCs/>
          <w:color w:val="C00000"/>
        </w:rPr>
        <w:t>control device</w:t>
      </w:r>
      <w:r w:rsidR="00B4445D" w:rsidRPr="00B4445D">
        <w:rPr>
          <w:rFonts w:ascii="Arial" w:hAnsi="Arial" w:cs="Arial"/>
          <w:b/>
          <w:color w:val="007635"/>
          <w:sz w:val="20"/>
          <w:szCs w:val="20"/>
        </w:rPr>
        <w:t xml:space="preserve"> [OAC rule 3745</w:t>
      </w:r>
      <w:r w:rsidR="00B4445D" w:rsidRPr="00B4445D">
        <w:rPr>
          <w:rFonts w:ascii="Arial" w:hAnsi="Arial" w:cs="Arial"/>
          <w:b/>
          <w:color w:val="007635"/>
          <w:sz w:val="20"/>
          <w:szCs w:val="20"/>
        </w:rPr>
        <w:noBreakHyphen/>
        <w:t>21</w:t>
      </w:r>
      <w:r w:rsidR="00B4445D" w:rsidRPr="00B4445D">
        <w:rPr>
          <w:rFonts w:ascii="Arial" w:hAnsi="Arial" w:cs="Arial"/>
          <w:b/>
          <w:color w:val="007635"/>
          <w:sz w:val="20"/>
          <w:szCs w:val="20"/>
        </w:rPr>
        <w:noBreakHyphen/>
        <w:t>09(B)(3)(j)]</w:t>
      </w:r>
    </w:p>
    <w:p w:rsidR="00B15EC8" w:rsidRPr="003245F0" w:rsidRDefault="00B15EC8" w:rsidP="00B15EC8">
      <w:p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color w:val="365F91" w:themeColor="accent1" w:themeShade="BF"/>
        </w:rPr>
      </w:pPr>
      <w:r w:rsidRPr="003245F0">
        <w:rPr>
          <w:rFonts w:ascii="Arial" w:hAnsi="Arial" w:cs="Arial"/>
          <w:b/>
          <w:bCs/>
          <w:color w:val="C00000"/>
        </w:rPr>
        <w:t>Note:</w:t>
      </w:r>
      <w:r w:rsidR="00CF06F3" w:rsidRPr="003245F0">
        <w:rPr>
          <w:rFonts w:ascii="Arial" w:hAnsi="Arial" w:cs="Arial"/>
          <w:b/>
          <w:bCs/>
          <w:color w:val="365F91" w:themeColor="accent1" w:themeShade="BF"/>
        </w:rPr>
        <w:tab/>
        <w:t>fill in the limit</w:t>
      </w:r>
      <w:r w:rsidRPr="003245F0">
        <w:rPr>
          <w:rFonts w:ascii="Arial" w:hAnsi="Arial" w:cs="Arial"/>
          <w:b/>
          <w:bCs/>
          <w:color w:val="365F91" w:themeColor="accent1" w:themeShade="BF"/>
        </w:rPr>
        <w:t xml:space="preserve"> for </w:t>
      </w:r>
      <w:r w:rsidRPr="003245F0">
        <w:rPr>
          <w:rFonts w:ascii="Arial" w:hAnsi="Arial" w:cs="Arial"/>
          <w:b/>
          <w:bCs/>
          <w:color w:val="C00000"/>
        </w:rPr>
        <w:t>XX</w:t>
      </w:r>
      <w:r w:rsidR="00CF06F3" w:rsidRPr="003245F0">
        <w:rPr>
          <w:rFonts w:ascii="Arial" w:hAnsi="Arial" w:cs="Arial"/>
          <w:b/>
          <w:color w:val="365F91" w:themeColor="accent1" w:themeShade="BF"/>
        </w:rPr>
        <w:t xml:space="preserve"> pounds of VOC per gallon of coating solids</w:t>
      </w:r>
      <w:r w:rsidR="002B34CC" w:rsidRPr="003245F0">
        <w:rPr>
          <w:rFonts w:ascii="Arial" w:hAnsi="Arial" w:cs="Arial"/>
          <w:b/>
          <w:bCs/>
          <w:color w:val="365F91" w:themeColor="accent1" w:themeShade="BF"/>
        </w:rPr>
        <w:t>;</w:t>
      </w:r>
      <w:r w:rsidRPr="003245F0">
        <w:rPr>
          <w:rFonts w:ascii="Arial" w:hAnsi="Arial" w:cs="Arial"/>
          <w:b/>
          <w:bCs/>
          <w:color w:val="365F91" w:themeColor="accent1" w:themeShade="BF"/>
        </w:rPr>
        <w:t xml:space="preserve"> the </w:t>
      </w:r>
      <w:r w:rsidR="00173D6E" w:rsidRPr="003245F0">
        <w:rPr>
          <w:rFonts w:ascii="Arial" w:hAnsi="Arial" w:cs="Arial"/>
          <w:b/>
          <w:bCs/>
          <w:color w:val="365F91" w:themeColor="accent1" w:themeShade="BF"/>
        </w:rPr>
        <w:t xml:space="preserve">source of the </w:t>
      </w:r>
      <w:r w:rsidR="002B34CC" w:rsidRPr="003245F0">
        <w:rPr>
          <w:rFonts w:ascii="Arial" w:hAnsi="Arial" w:cs="Arial"/>
          <w:b/>
          <w:bCs/>
          <w:color w:val="365F91" w:themeColor="accent1" w:themeShade="BF"/>
        </w:rPr>
        <w:t xml:space="preserve">VOC </w:t>
      </w:r>
      <w:r w:rsidR="00173D6E" w:rsidRPr="003245F0">
        <w:rPr>
          <w:rFonts w:ascii="Arial" w:hAnsi="Arial" w:cs="Arial"/>
          <w:b/>
          <w:bCs/>
          <w:color w:val="365F91" w:themeColor="accent1" w:themeShade="BF"/>
        </w:rPr>
        <w:t>limit can be added to (or replace</w:t>
      </w:r>
      <w:r w:rsidR="002B34CC" w:rsidRPr="003245F0">
        <w:rPr>
          <w:rFonts w:ascii="Arial" w:hAnsi="Arial" w:cs="Arial"/>
          <w:b/>
          <w:bCs/>
          <w:color w:val="365F91" w:themeColor="accent1" w:themeShade="BF"/>
        </w:rPr>
        <w:t xml:space="preserve"> if not subject to 21-09</w:t>
      </w:r>
      <w:r w:rsidR="00173D6E" w:rsidRPr="003245F0">
        <w:rPr>
          <w:rFonts w:ascii="Arial" w:hAnsi="Arial" w:cs="Arial"/>
          <w:b/>
          <w:bCs/>
          <w:color w:val="365F91" w:themeColor="accent1" w:themeShade="BF"/>
        </w:rPr>
        <w:t>) the footnote</w:t>
      </w:r>
    </w:p>
    <w:p w:rsidR="00B15EC8" w:rsidRPr="00F377AA" w:rsidRDefault="00B15EC8" w:rsidP="001A4259">
      <w:pPr>
        <w:pStyle w:val="Level5"/>
      </w:pPr>
      <w:r w:rsidRPr="00F377AA">
        <w:t xml:space="preserve">Coatings applied in </w:t>
      </w:r>
      <w:r w:rsidR="003E1CDD">
        <w:t>this</w:t>
      </w:r>
      <w:r w:rsidR="0020083A">
        <w:t>/these</w:t>
      </w:r>
      <w:r w:rsidR="003E1CDD" w:rsidRPr="00F377AA">
        <w:t xml:space="preserve"> </w:t>
      </w:r>
      <w:r w:rsidR="003E1CDD">
        <w:t>emissions unit</w:t>
      </w:r>
      <w:r w:rsidR="0020083A">
        <w:t>s</w:t>
      </w:r>
      <w:r w:rsidRPr="00F377AA">
        <w:t xml:space="preserve"> shall not exceed </w:t>
      </w:r>
      <w:r w:rsidRPr="00F377AA">
        <w:rPr>
          <w:b/>
          <w:bCs/>
        </w:rPr>
        <w:t>XX</w:t>
      </w:r>
      <w:r w:rsidRPr="00F377AA">
        <w:t xml:space="preserve"> pounds of VOC per gallon of coating</w:t>
      </w:r>
      <w:r w:rsidR="009D0812">
        <w:t xml:space="preserve"> solids</w:t>
      </w:r>
      <w:r w:rsidRPr="00F377AA">
        <w:t xml:space="preserve">, excluding water and exempt solvents, as </w:t>
      </w:r>
      <w:r w:rsidR="009D0812">
        <w:t xml:space="preserve">either </w:t>
      </w:r>
      <w:r w:rsidRPr="00F377AA">
        <w:t xml:space="preserve">the maximum VOC content of each coating </w:t>
      </w:r>
      <w:r w:rsidR="009D0812">
        <w:t xml:space="preserve">applied </w:t>
      </w:r>
      <w:r w:rsidRPr="00F377AA">
        <w:t>or as a da</w:t>
      </w:r>
      <w:r w:rsidR="009D0812">
        <w:t>ily volume-weighted average,</w:t>
      </w:r>
      <w:r w:rsidRPr="00F377AA">
        <w:t xml:space="preserve"> where the </w:t>
      </w:r>
      <w:r w:rsidR="00DC29FA">
        <w:t>thermal oxidizer</w:t>
      </w:r>
      <w:r w:rsidRPr="00F377AA">
        <w:t xml:space="preserve"> is employed to demonstrate compliance.</w:t>
      </w:r>
    </w:p>
    <w:p w:rsidR="00B15EC8" w:rsidRDefault="00B15EC8" w:rsidP="0008737D">
      <w:pPr>
        <w:pStyle w:val="Level5Paragraph"/>
        <w:rPr>
          <w:sz w:val="20"/>
          <w:szCs w:val="20"/>
        </w:rPr>
      </w:pPr>
      <w:r w:rsidRPr="0008737D">
        <w:rPr>
          <w:sz w:val="20"/>
          <w:szCs w:val="20"/>
        </w:rPr>
        <w:t>[OAC rule 3745</w:t>
      </w:r>
      <w:r w:rsidRPr="0008737D">
        <w:rPr>
          <w:sz w:val="20"/>
          <w:szCs w:val="20"/>
        </w:rPr>
        <w:noBreakHyphen/>
        <w:t>21</w:t>
      </w:r>
      <w:r w:rsidRPr="0008737D">
        <w:rPr>
          <w:sz w:val="20"/>
          <w:szCs w:val="20"/>
        </w:rPr>
        <w:noBreakHyphen/>
        <w:t>09</w:t>
      </w:r>
      <w:r w:rsidR="00841131">
        <w:rPr>
          <w:sz w:val="20"/>
          <w:szCs w:val="20"/>
        </w:rPr>
        <w:t>(B)(3)(j</w:t>
      </w:r>
      <w:proofErr w:type="gramStart"/>
      <w:r w:rsidR="00841131">
        <w:rPr>
          <w:sz w:val="20"/>
          <w:szCs w:val="20"/>
        </w:rPr>
        <w:t>)</w:t>
      </w:r>
      <w:r w:rsidRPr="0008737D">
        <w:rPr>
          <w:sz w:val="20"/>
          <w:szCs w:val="20"/>
        </w:rPr>
        <w:t>]</w:t>
      </w:r>
      <w:r w:rsidR="00B700DC">
        <w:rPr>
          <w:sz w:val="20"/>
          <w:szCs w:val="20"/>
        </w:rPr>
        <w:t xml:space="preserve">   </w:t>
      </w:r>
      <w:proofErr w:type="gramEnd"/>
      <w:r w:rsidR="00B700DC">
        <w:rPr>
          <w:sz w:val="20"/>
          <w:szCs w:val="20"/>
        </w:rPr>
        <w:t xml:space="preserve">        </w:t>
      </w:r>
      <w:r w:rsidR="00B700DC" w:rsidRPr="003245F0">
        <w:rPr>
          <w:b/>
          <w:color w:val="365F91" w:themeColor="accent1" w:themeShade="BF"/>
          <w:sz w:val="20"/>
          <w:szCs w:val="20"/>
        </w:rPr>
        <w:t>And rule source of limitation, e.g.:</w:t>
      </w:r>
    </w:p>
    <w:p w:rsidR="0051033A" w:rsidRDefault="0051033A" w:rsidP="0008737D">
      <w:pPr>
        <w:pStyle w:val="Level5Paragraph"/>
        <w:rPr>
          <w:sz w:val="20"/>
          <w:szCs w:val="20"/>
        </w:rPr>
      </w:pPr>
      <w:r w:rsidRPr="0008737D">
        <w:rPr>
          <w:sz w:val="20"/>
          <w:szCs w:val="20"/>
        </w:rPr>
        <w:t>[OAC rule 3745</w:t>
      </w:r>
      <w:r w:rsidRPr="0008737D">
        <w:rPr>
          <w:sz w:val="20"/>
          <w:szCs w:val="20"/>
        </w:rPr>
        <w:noBreakHyphen/>
        <w:t>21</w:t>
      </w:r>
      <w:r w:rsidRPr="0008737D">
        <w:rPr>
          <w:sz w:val="20"/>
          <w:szCs w:val="20"/>
        </w:rPr>
        <w:noBreakHyphen/>
        <w:t>09</w:t>
      </w:r>
      <w:r>
        <w:rPr>
          <w:sz w:val="20"/>
          <w:szCs w:val="20"/>
        </w:rPr>
        <w:t>(D)(1) or (2</w:t>
      </w:r>
      <w:proofErr w:type="gramStart"/>
      <w:r>
        <w:rPr>
          <w:sz w:val="20"/>
          <w:szCs w:val="20"/>
        </w:rPr>
        <w:t>)</w:t>
      </w:r>
      <w:r w:rsidRPr="0008737D">
        <w:rPr>
          <w:sz w:val="20"/>
          <w:szCs w:val="20"/>
        </w:rPr>
        <w:t>]</w:t>
      </w:r>
      <w:r>
        <w:rPr>
          <w:sz w:val="20"/>
          <w:szCs w:val="20"/>
        </w:rPr>
        <w:t xml:space="preserve">   </w:t>
      </w:r>
      <w:proofErr w:type="gramEnd"/>
      <w:r>
        <w:rPr>
          <w:sz w:val="20"/>
          <w:szCs w:val="20"/>
        </w:rPr>
        <w:t xml:space="preserve"> </w:t>
      </w:r>
      <w:r w:rsidR="002B1095" w:rsidRPr="003245F0">
        <w:rPr>
          <w:b/>
          <w:color w:val="C00000"/>
          <w:sz w:val="20"/>
          <w:szCs w:val="20"/>
        </w:rPr>
        <w:t>OR</w:t>
      </w:r>
      <w:r w:rsidRPr="003245F0">
        <w:rPr>
          <w:b/>
          <w:color w:val="365F91" w:themeColor="accent1" w:themeShade="BF"/>
          <w:sz w:val="20"/>
          <w:szCs w:val="20"/>
        </w:rPr>
        <w:t xml:space="preserve"> other limitation in lbs VOC/gallon of solids</w:t>
      </w:r>
    </w:p>
    <w:p w:rsidR="00B15EC8" w:rsidRPr="00F377AA" w:rsidRDefault="00B15EC8" w:rsidP="0008737D">
      <w:pPr>
        <w:tabs>
          <w:tab w:val="left" w:pos="-4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rPr>
          <w:rFonts w:ascii="Arial" w:hAnsi="Arial" w:cs="Century Gothic"/>
          <w:color w:val="000000"/>
        </w:rPr>
      </w:pPr>
    </w:p>
    <w:p w:rsidR="00B15EC8" w:rsidRPr="00F377AA" w:rsidRDefault="00B15EC8" w:rsidP="000F5193">
      <w:pPr>
        <w:tabs>
          <w:tab w:val="left" w:pos="-48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rPr>
          <w:rFonts w:ascii="Arial" w:hAnsi="Arial" w:cs="Century Gothic"/>
          <w:color w:val="000000"/>
        </w:rPr>
      </w:pPr>
      <w:r w:rsidRPr="00F377AA">
        <w:rPr>
          <w:rFonts w:ascii="Arial" w:hAnsi="Arial" w:cs="Century Gothic"/>
          <w:b/>
          <w:bCs/>
          <w:color w:val="000000"/>
        </w:rPr>
        <w:t>B.6.e</w:t>
      </w:r>
      <w:r w:rsidRPr="00F377AA">
        <w:rPr>
          <w:rFonts w:ascii="Arial" w:hAnsi="Arial" w:cs="Century Gothic"/>
          <w:b/>
          <w:bCs/>
          <w:color w:val="000000"/>
        </w:rPr>
        <w:tab/>
      </w:r>
      <w:r w:rsidRPr="00F377AA">
        <w:rPr>
          <w:rFonts w:ascii="Arial" w:hAnsi="Arial" w:cs="Century Gothic"/>
          <w:b/>
          <w:bCs/>
          <w:color w:val="800000"/>
          <w:u w:val="single"/>
        </w:rPr>
        <w:t>Monitoring and Record keeping</w:t>
      </w:r>
      <w:r w:rsidRPr="00F377AA">
        <w:rPr>
          <w:rFonts w:ascii="Arial" w:hAnsi="Arial" w:cs="Century Gothic"/>
          <w:b/>
          <w:bCs/>
          <w:color w:val="000000"/>
        </w:rPr>
        <w:t xml:space="preserve"> </w:t>
      </w:r>
      <w:r w:rsidR="009860D3" w:rsidRPr="00F377AA">
        <w:rPr>
          <w:rFonts w:ascii="Arial" w:hAnsi="Arial" w:cs="Century Gothic"/>
          <w:b/>
          <w:bCs/>
          <w:color w:val="000000"/>
        </w:rPr>
        <w:t xml:space="preserve">requirements for a coating or printing line subject to a </w:t>
      </w:r>
      <w:r w:rsidR="009860D3" w:rsidRPr="003245F0">
        <w:rPr>
          <w:rFonts w:ascii="Arial" w:hAnsi="Arial" w:cs="Century Gothic"/>
          <w:b/>
          <w:bCs/>
          <w:color w:val="C00000"/>
        </w:rPr>
        <w:t>pounds of VOC per gallon of solids</w:t>
      </w:r>
      <w:r w:rsidR="009860D3" w:rsidRPr="00F377AA">
        <w:rPr>
          <w:rFonts w:ascii="Arial" w:hAnsi="Arial" w:cs="Century Gothic"/>
          <w:b/>
          <w:bCs/>
          <w:color w:val="000000"/>
        </w:rPr>
        <w:t xml:space="preserve"> limitation as a maximum VOC content or as a daily volume-weighted average, and where the coating line is equipped with a </w:t>
      </w:r>
      <w:r w:rsidR="009860D3" w:rsidRPr="003245F0">
        <w:rPr>
          <w:rFonts w:ascii="Arial" w:hAnsi="Arial" w:cs="Century Gothic"/>
          <w:b/>
          <w:bCs/>
          <w:color w:val="C00000"/>
        </w:rPr>
        <w:t>control device</w:t>
      </w:r>
      <w:r w:rsidR="009860D3" w:rsidRPr="00B4445D">
        <w:rPr>
          <w:rFonts w:ascii="Arial" w:hAnsi="Arial" w:cs="Arial"/>
          <w:b/>
          <w:color w:val="007635"/>
          <w:sz w:val="20"/>
          <w:szCs w:val="20"/>
        </w:rPr>
        <w:t xml:space="preserve"> [OAC rule 3745</w:t>
      </w:r>
      <w:r w:rsidR="009860D3" w:rsidRPr="00B4445D">
        <w:rPr>
          <w:rFonts w:ascii="Arial" w:hAnsi="Arial" w:cs="Arial"/>
          <w:b/>
          <w:color w:val="007635"/>
          <w:sz w:val="20"/>
          <w:szCs w:val="20"/>
        </w:rPr>
        <w:noBreakHyphen/>
        <w:t>21</w:t>
      </w:r>
      <w:r w:rsidR="009860D3" w:rsidRPr="00B4445D">
        <w:rPr>
          <w:rFonts w:ascii="Arial" w:hAnsi="Arial" w:cs="Arial"/>
          <w:b/>
          <w:color w:val="007635"/>
          <w:sz w:val="20"/>
          <w:szCs w:val="20"/>
        </w:rPr>
        <w:noBreakHyphen/>
        <w:t>09(B)(3)(j)]</w:t>
      </w:r>
      <w:r w:rsidR="002F51DB" w:rsidRPr="002F51DB">
        <w:rPr>
          <w:rFonts w:ascii="Arial" w:hAnsi="Arial" w:cs="Arial"/>
          <w:b/>
          <w:color w:val="007635"/>
          <w:sz w:val="20"/>
          <w:szCs w:val="20"/>
        </w:rPr>
        <w:t xml:space="preserve"> </w:t>
      </w:r>
      <w:r w:rsidR="002F51DB">
        <w:rPr>
          <w:rFonts w:ascii="Arial" w:hAnsi="Arial" w:cs="Arial"/>
          <w:b/>
          <w:color w:val="007635"/>
          <w:sz w:val="20"/>
          <w:szCs w:val="20"/>
        </w:rPr>
        <w:t xml:space="preserve">and </w:t>
      </w:r>
      <w:r w:rsidR="002F51DB" w:rsidRPr="002F3440">
        <w:rPr>
          <w:rFonts w:ascii="Arial" w:hAnsi="Arial" w:cs="Arial"/>
          <w:b/>
          <w:color w:val="008000"/>
          <w:sz w:val="20"/>
          <w:szCs w:val="20"/>
        </w:rPr>
        <w:t>[OAC rule 3745-21-10(B)]</w:t>
      </w:r>
    </w:p>
    <w:p w:rsidR="001C2C44" w:rsidRPr="00841131" w:rsidRDefault="00B15EC8" w:rsidP="00841131">
      <w:p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Century Gothic"/>
          <w:color w:val="000000"/>
        </w:rPr>
      </w:pPr>
      <w:r w:rsidRPr="003245F0">
        <w:rPr>
          <w:rFonts w:ascii="Arial" w:hAnsi="Arial" w:cs="Century Gothic"/>
          <w:b/>
          <w:bCs/>
          <w:color w:val="C00000"/>
        </w:rPr>
        <w:t>Note:</w:t>
      </w:r>
      <w:r w:rsidRPr="00F377AA">
        <w:rPr>
          <w:rFonts w:ascii="Arial" w:hAnsi="Arial" w:cs="Century Gothic"/>
          <w:color w:val="0000FF"/>
        </w:rPr>
        <w:tab/>
      </w:r>
      <w:r w:rsidRPr="003245F0">
        <w:rPr>
          <w:rFonts w:ascii="Arial" w:hAnsi="Arial" w:cs="Century Gothic"/>
          <w:b/>
          <w:bCs/>
          <w:color w:val="365F91" w:themeColor="accent1" w:themeShade="BF"/>
        </w:rPr>
        <w:t>For a printing line change</w:t>
      </w:r>
      <w:r w:rsidR="00F3614C">
        <w:rPr>
          <w:rFonts w:ascii="Arial" w:hAnsi="Arial" w:cs="Century Gothic"/>
          <w:b/>
          <w:bCs/>
          <w:color w:val="365F91" w:themeColor="accent1" w:themeShade="BF"/>
        </w:rPr>
        <w:t xml:space="preserve"> “</w:t>
      </w:r>
      <w:r w:rsidRPr="003245F0">
        <w:rPr>
          <w:rFonts w:ascii="Arial" w:hAnsi="Arial" w:cs="Century Gothic"/>
          <w:b/>
          <w:bCs/>
          <w:color w:val="365F91" w:themeColor="accent1" w:themeShade="BF"/>
        </w:rPr>
        <w:t>coating</w:t>
      </w:r>
      <w:r w:rsidR="00F3614C">
        <w:rPr>
          <w:rFonts w:ascii="Arial" w:hAnsi="Arial" w:cs="Century Gothic"/>
          <w:b/>
          <w:bCs/>
          <w:color w:val="365F91" w:themeColor="accent1" w:themeShade="BF"/>
        </w:rPr>
        <w:t>”</w:t>
      </w:r>
      <w:r w:rsidRPr="003245F0">
        <w:rPr>
          <w:rFonts w:ascii="Arial" w:hAnsi="Arial" w:cs="Century Gothic"/>
          <w:b/>
          <w:bCs/>
          <w:color w:val="365F91" w:themeColor="accent1" w:themeShade="BF"/>
        </w:rPr>
        <w:t xml:space="preserve"> to </w:t>
      </w:r>
      <w:r w:rsidR="00F3614C">
        <w:rPr>
          <w:rFonts w:ascii="Arial" w:hAnsi="Arial" w:cs="Century Gothic"/>
          <w:b/>
          <w:bCs/>
          <w:color w:val="365F91" w:themeColor="accent1" w:themeShade="BF"/>
        </w:rPr>
        <w:t>“</w:t>
      </w:r>
      <w:r w:rsidRPr="003245F0">
        <w:rPr>
          <w:rFonts w:ascii="Arial" w:hAnsi="Arial" w:cs="Century Gothic"/>
          <w:b/>
          <w:bCs/>
          <w:color w:val="365F91" w:themeColor="accent1" w:themeShade="BF"/>
        </w:rPr>
        <w:t>ink</w:t>
      </w:r>
      <w:r w:rsidR="00F3614C">
        <w:rPr>
          <w:rFonts w:ascii="Arial" w:hAnsi="Arial" w:cs="Century Gothic"/>
          <w:b/>
          <w:bCs/>
          <w:color w:val="365F91" w:themeColor="accent1" w:themeShade="BF"/>
        </w:rPr>
        <w:t>”</w:t>
      </w:r>
      <w:r w:rsidRPr="003245F0">
        <w:rPr>
          <w:rFonts w:ascii="Arial" w:hAnsi="Arial" w:cs="Century Gothic"/>
          <w:b/>
          <w:bCs/>
          <w:color w:val="365F91" w:themeColor="accent1" w:themeShade="BF"/>
        </w:rPr>
        <w:t xml:space="preserve"> or to the material(s) being applied; </w:t>
      </w:r>
      <w:r w:rsidR="00F3614C">
        <w:rPr>
          <w:rFonts w:ascii="Arial" w:hAnsi="Arial" w:cs="Century Gothic"/>
          <w:b/>
          <w:bCs/>
          <w:color w:val="365F91" w:themeColor="accent1" w:themeShade="BF"/>
        </w:rPr>
        <w:t>“</w:t>
      </w:r>
      <w:r w:rsidRPr="003245F0">
        <w:rPr>
          <w:rFonts w:ascii="Arial" w:hAnsi="Arial" w:cs="Century Gothic"/>
          <w:b/>
          <w:bCs/>
          <w:color w:val="365F91" w:themeColor="accent1" w:themeShade="BF"/>
        </w:rPr>
        <w:t>per gallon of coating solids</w:t>
      </w:r>
      <w:r w:rsidR="00F3614C">
        <w:rPr>
          <w:rFonts w:ascii="Arial" w:hAnsi="Arial" w:cs="Century Gothic"/>
          <w:b/>
          <w:bCs/>
          <w:color w:val="365F91" w:themeColor="accent1" w:themeShade="BF"/>
        </w:rPr>
        <w:t>”</w:t>
      </w:r>
      <w:r w:rsidRPr="003245F0">
        <w:rPr>
          <w:rFonts w:ascii="Arial" w:hAnsi="Arial" w:cs="Century Gothic"/>
          <w:b/>
          <w:bCs/>
          <w:color w:val="365F91" w:themeColor="accent1" w:themeShade="BF"/>
        </w:rPr>
        <w:t xml:space="preserve"> or </w:t>
      </w:r>
      <w:r w:rsidR="00F3614C">
        <w:rPr>
          <w:rFonts w:ascii="Arial" w:hAnsi="Arial" w:cs="Century Gothic"/>
          <w:b/>
          <w:bCs/>
          <w:color w:val="365F91" w:themeColor="accent1" w:themeShade="BF"/>
        </w:rPr>
        <w:t>“</w:t>
      </w:r>
      <w:r w:rsidRPr="003245F0">
        <w:rPr>
          <w:rFonts w:ascii="Arial" w:hAnsi="Arial" w:cs="Century Gothic"/>
          <w:b/>
          <w:bCs/>
          <w:color w:val="365F91" w:themeColor="accent1" w:themeShade="BF"/>
        </w:rPr>
        <w:t>per gallon of solids</w:t>
      </w:r>
      <w:r w:rsidR="00F3614C">
        <w:rPr>
          <w:rFonts w:ascii="Arial" w:hAnsi="Arial" w:cs="Century Gothic"/>
          <w:b/>
          <w:bCs/>
          <w:color w:val="365F91" w:themeColor="accent1" w:themeShade="BF"/>
        </w:rPr>
        <w:t>”</w:t>
      </w:r>
      <w:r w:rsidRPr="003245F0">
        <w:rPr>
          <w:rFonts w:ascii="Arial" w:hAnsi="Arial" w:cs="Century Gothic"/>
          <w:b/>
          <w:bCs/>
          <w:color w:val="365F91" w:themeColor="accent1" w:themeShade="BF"/>
        </w:rPr>
        <w:t xml:space="preserve"> can be used for a printing operation.</w:t>
      </w:r>
    </w:p>
    <w:p w:rsidR="00B15EC8" w:rsidRPr="00F377AA" w:rsidRDefault="00B15EC8" w:rsidP="002243FA">
      <w:pPr>
        <w:pStyle w:val="Level4"/>
        <w:numPr>
          <w:ilvl w:val="3"/>
          <w:numId w:val="8"/>
        </w:numPr>
      </w:pPr>
      <w:r w:rsidRPr="00F377AA">
        <w:t>The permittee, having chosen to demonstrate compliance with a limitation based on pounds of VOC per gallon of coating solids, shall collect and record the following information each day for the coating line and control equipment:</w:t>
      </w:r>
    </w:p>
    <w:p w:rsidR="00B15EC8" w:rsidRPr="001A4259" w:rsidRDefault="00B15EC8" w:rsidP="001A4259">
      <w:pPr>
        <w:pStyle w:val="Level5"/>
      </w:pPr>
      <w:r w:rsidRPr="001A4259">
        <w:t>the name and identific</w:t>
      </w:r>
      <w:r w:rsidR="00B93BE9" w:rsidRPr="001A4259">
        <w:t>ation number of each coating</w:t>
      </w:r>
      <w:r w:rsidRPr="001A4259">
        <w:t xml:space="preserve"> applied;</w:t>
      </w:r>
    </w:p>
    <w:p w:rsidR="007F7CE5" w:rsidRDefault="0005375B" w:rsidP="001A4259">
      <w:pPr>
        <w:pStyle w:val="Level5"/>
      </w:pPr>
      <w:r>
        <w:t xml:space="preserve">for each coating, </w:t>
      </w:r>
      <w:r w:rsidR="007F7CE5">
        <w:t xml:space="preserve">the </w:t>
      </w:r>
      <w:r w:rsidR="00181BCE">
        <w:t>calculation for the VOC content in pounds of VOC per gallon of coating solids</w:t>
      </w:r>
      <w:r>
        <w:t xml:space="preserve"> and the</w:t>
      </w:r>
      <w:r w:rsidR="00B93BE9">
        <w:t xml:space="preserve"> record of</w:t>
      </w:r>
      <w:r>
        <w:t xml:space="preserve"> each variable for each coating applied</w:t>
      </w:r>
      <w:r w:rsidR="00181BCE">
        <w:t>:</w:t>
      </w:r>
    </w:p>
    <w:p w:rsidR="00181BCE" w:rsidRDefault="00181BCE" w:rsidP="00181BCE">
      <w:pPr>
        <w:pStyle w:val="Level5Paragraph"/>
        <w:rPr>
          <w:vertAlign w:val="subscript"/>
        </w:rPr>
      </w:pPr>
      <w:r>
        <w:t>C</w:t>
      </w:r>
      <w:r w:rsidR="00243FE5">
        <w:rPr>
          <w:vertAlign w:val="subscript"/>
        </w:rPr>
        <w:t>VOC</w:t>
      </w:r>
      <w:r w:rsidRPr="00181BCE">
        <w:rPr>
          <w:vertAlign w:val="subscript"/>
        </w:rPr>
        <w:t>,3</w:t>
      </w:r>
      <w:r w:rsidRPr="00181BCE">
        <w:t xml:space="preserve"> </w:t>
      </w:r>
      <w:r>
        <w:t>= (D</w:t>
      </w:r>
      <w:r w:rsidR="00243FE5">
        <w:rPr>
          <w:vertAlign w:val="subscript"/>
        </w:rPr>
        <w:t>C</w:t>
      </w:r>
      <w:r>
        <w:t>)(W</w:t>
      </w:r>
      <w:r w:rsidR="00243FE5">
        <w:rPr>
          <w:vertAlign w:val="subscript"/>
        </w:rPr>
        <w:t>VOC</w:t>
      </w:r>
      <w:r>
        <w:t>) / V</w:t>
      </w:r>
      <w:r w:rsidR="00243FE5">
        <w:rPr>
          <w:vertAlign w:val="subscript"/>
        </w:rPr>
        <w:t>S</w:t>
      </w:r>
    </w:p>
    <w:p w:rsidR="00181BCE" w:rsidRDefault="00181BCE" w:rsidP="00181BCE">
      <w:pPr>
        <w:pStyle w:val="Level5Paragraph"/>
      </w:pPr>
      <w:r>
        <w:t>where:</w:t>
      </w:r>
    </w:p>
    <w:p w:rsidR="00181BCE" w:rsidRDefault="00243FE5" w:rsidP="00181BCE">
      <w:pPr>
        <w:pStyle w:val="Level5Paragraph"/>
      </w:pPr>
      <w:r>
        <w:t>C</w:t>
      </w:r>
      <w:r>
        <w:rPr>
          <w:vertAlign w:val="subscript"/>
        </w:rPr>
        <w:t>VOC</w:t>
      </w:r>
      <w:r w:rsidRPr="00181BCE">
        <w:rPr>
          <w:vertAlign w:val="subscript"/>
        </w:rPr>
        <w:t>,3</w:t>
      </w:r>
      <w:r w:rsidR="00181BCE">
        <w:t xml:space="preserve"> = VOC content, in pounds of VOC per gallon of solids</w:t>
      </w:r>
    </w:p>
    <w:p w:rsidR="00181BCE" w:rsidRDefault="00243FE5" w:rsidP="00181BCE">
      <w:pPr>
        <w:pStyle w:val="Level5Paragraph"/>
      </w:pPr>
      <w:r>
        <w:t>D</w:t>
      </w:r>
      <w:r>
        <w:rPr>
          <w:vertAlign w:val="subscript"/>
        </w:rPr>
        <w:t>C</w:t>
      </w:r>
      <w:r w:rsidR="00181BCE">
        <w:t xml:space="preserve"> = density of coating, in pounds of coating per gallon of coating</w:t>
      </w:r>
    </w:p>
    <w:p w:rsidR="00181BCE" w:rsidRDefault="00243FE5" w:rsidP="00181BCE">
      <w:pPr>
        <w:pStyle w:val="Level5Paragraph"/>
        <w:rPr>
          <w:vertAlign w:val="subscript"/>
        </w:rPr>
      </w:pPr>
      <w:r>
        <w:lastRenderedPageBreak/>
        <w:t>W</w:t>
      </w:r>
      <w:r>
        <w:rPr>
          <w:vertAlign w:val="subscript"/>
        </w:rPr>
        <w:t>VOC</w:t>
      </w:r>
      <w:r w:rsidR="00181BCE">
        <w:t xml:space="preserve"> = </w:t>
      </w:r>
      <w:r>
        <w:t>W</w:t>
      </w:r>
      <w:r w:rsidRPr="00243FE5">
        <w:rPr>
          <w:vertAlign w:val="subscript"/>
        </w:rPr>
        <w:t>VM</w:t>
      </w:r>
      <w:r>
        <w:t xml:space="preserve"> – W</w:t>
      </w:r>
      <w:r w:rsidRPr="00243FE5">
        <w:rPr>
          <w:vertAlign w:val="subscript"/>
        </w:rPr>
        <w:t>W</w:t>
      </w:r>
      <w:r>
        <w:t xml:space="preserve"> -W</w:t>
      </w:r>
      <w:r w:rsidRPr="00243FE5">
        <w:rPr>
          <w:vertAlign w:val="subscript"/>
        </w:rPr>
        <w:t>ES</w:t>
      </w:r>
    </w:p>
    <w:p w:rsidR="00243FE5" w:rsidRPr="00243FE5" w:rsidRDefault="00243FE5" w:rsidP="00181BCE">
      <w:pPr>
        <w:pStyle w:val="Level5Paragraph"/>
      </w:pPr>
      <w:r>
        <w:t>W</w:t>
      </w:r>
      <w:r w:rsidRPr="00243FE5">
        <w:rPr>
          <w:vertAlign w:val="subscript"/>
        </w:rPr>
        <w:t>VM</w:t>
      </w:r>
      <w:r>
        <w:t xml:space="preserve"> =</w:t>
      </w:r>
      <w:r w:rsidR="00B93BE9">
        <w:t xml:space="preserve"> weight fraction of VOC in coating, in pound of VOC per pound of coating</w:t>
      </w:r>
    </w:p>
    <w:p w:rsidR="00243FE5" w:rsidRPr="00243FE5" w:rsidRDefault="00243FE5" w:rsidP="00181BCE">
      <w:pPr>
        <w:pStyle w:val="Level5Paragraph"/>
      </w:pPr>
      <w:r>
        <w:t>W</w:t>
      </w:r>
      <w:r w:rsidRPr="00243FE5">
        <w:rPr>
          <w:vertAlign w:val="subscript"/>
        </w:rPr>
        <w:t>W</w:t>
      </w:r>
      <w:r>
        <w:t xml:space="preserve"> =</w:t>
      </w:r>
      <w:r w:rsidR="00B93BE9">
        <w:t xml:space="preserve"> weight fraction of water in coating, in pound of water per pound of coating</w:t>
      </w:r>
    </w:p>
    <w:p w:rsidR="00243FE5" w:rsidRPr="00243FE5" w:rsidRDefault="00243FE5" w:rsidP="007F293F">
      <w:pPr>
        <w:pStyle w:val="Level5Paragraph"/>
        <w:ind w:left="3600" w:hanging="720"/>
      </w:pPr>
      <w:r>
        <w:t>W</w:t>
      </w:r>
      <w:r w:rsidRPr="00243FE5">
        <w:rPr>
          <w:vertAlign w:val="subscript"/>
        </w:rPr>
        <w:t>ES</w:t>
      </w:r>
      <w:r>
        <w:t xml:space="preserve"> =</w:t>
      </w:r>
      <w:r w:rsidR="00B93BE9">
        <w:t xml:space="preserve"> weight fraction of exempt solvent in coating, in pound of exempt solvent per pound of coating</w:t>
      </w:r>
    </w:p>
    <w:p w:rsidR="00243FE5" w:rsidRPr="00243FE5" w:rsidRDefault="00243FE5" w:rsidP="00181BCE">
      <w:pPr>
        <w:pStyle w:val="Level5Paragraph"/>
      </w:pPr>
      <w:r>
        <w:t>V</w:t>
      </w:r>
      <w:r>
        <w:rPr>
          <w:vertAlign w:val="subscript"/>
        </w:rPr>
        <w:t>S</w:t>
      </w:r>
      <w:r>
        <w:t xml:space="preserve"> =</w:t>
      </w:r>
      <w:r w:rsidR="00B93BE9">
        <w:t xml:space="preserve"> volume fraction of solids in coating, in gallon of solids per gallon of coating;</w:t>
      </w:r>
    </w:p>
    <w:p w:rsidR="00B15EC8" w:rsidRPr="00F377AA" w:rsidRDefault="00B15EC8" w:rsidP="001A4259">
      <w:pPr>
        <w:pStyle w:val="Level5"/>
      </w:pPr>
      <w:r w:rsidRPr="00F377AA">
        <w:t xml:space="preserve">the </w:t>
      </w:r>
      <w:r w:rsidR="0005375B">
        <w:t>maximum VOC content per gallon of coating solids</w:t>
      </w:r>
      <w:r w:rsidR="00424D20">
        <w:t xml:space="preserve"> for all the coatings applied</w:t>
      </w:r>
      <w:r w:rsidRPr="00F377AA">
        <w:t>;</w:t>
      </w:r>
      <w:r w:rsidR="00424D20">
        <w:t xml:space="preserve"> </w:t>
      </w:r>
      <w:r w:rsidR="00424D20" w:rsidRPr="0047148C">
        <w:rPr>
          <w:b/>
        </w:rPr>
        <w:t>or</w:t>
      </w:r>
    </w:p>
    <w:p w:rsidR="00B15EC8" w:rsidRDefault="00AA1EF8" w:rsidP="001A4259">
      <w:pPr>
        <w:pStyle w:val="Level5"/>
      </w:pPr>
      <w:r w:rsidRPr="00F377AA">
        <w:t>the daily volume</w:t>
      </w:r>
      <w:r w:rsidRPr="00F377AA">
        <w:noBreakHyphen/>
        <w:t>weighted</w:t>
      </w:r>
      <w:r>
        <w:t xml:space="preserve"> average VOC content </w:t>
      </w:r>
      <w:r w:rsidRPr="00F377AA">
        <w:t>in pounds of VOC per gallo</w:t>
      </w:r>
      <w:r>
        <w:t>n of coating solids</w:t>
      </w:r>
      <w:r w:rsidRPr="00F377AA">
        <w:t xml:space="preserve"> of all the coatings</w:t>
      </w:r>
      <w:r>
        <w:t xml:space="preserve"> applied, calculated as follows:</w:t>
      </w:r>
    </w:p>
    <w:p w:rsidR="00D66950" w:rsidRPr="00D66950" w:rsidRDefault="00D66950" w:rsidP="001A4259">
      <w:pPr>
        <w:pStyle w:val="Level5"/>
      </w:pPr>
      <w:r w:rsidRPr="00D66950">
        <w:t>n</w:t>
      </w:r>
      <w:r>
        <w:tab/>
        <w:t>n</w:t>
      </w:r>
    </w:p>
    <w:p w:rsidR="00424D20" w:rsidRDefault="00424D20" w:rsidP="00D66950">
      <w:pPr>
        <w:pStyle w:val="Level5Paragraph"/>
        <w:spacing w:after="0"/>
      </w:pPr>
      <w:r>
        <w:t>(C</w:t>
      </w:r>
      <w:r>
        <w:rPr>
          <w:vertAlign w:val="subscript"/>
        </w:rPr>
        <w:t>VOC</w:t>
      </w:r>
      <w:r w:rsidRPr="00181BCE">
        <w:rPr>
          <w:vertAlign w:val="subscript"/>
        </w:rPr>
        <w:t>,</w:t>
      </w:r>
      <w:proofErr w:type="gramStart"/>
      <w:r w:rsidRPr="00181BCE">
        <w:rPr>
          <w:vertAlign w:val="subscript"/>
        </w:rPr>
        <w:t>3</w:t>
      </w:r>
      <w:r>
        <w:t>)</w:t>
      </w:r>
      <w:r>
        <w:rPr>
          <w:vertAlign w:val="subscript"/>
        </w:rPr>
        <w:t>A</w:t>
      </w:r>
      <w:proofErr w:type="gramEnd"/>
      <w:r>
        <w:t xml:space="preserve"> = </w:t>
      </w:r>
      <w:r w:rsidR="00D66950">
        <w:t>∑ (C</w:t>
      </w:r>
      <w:r w:rsidR="00D66950">
        <w:rPr>
          <w:vertAlign w:val="subscript"/>
        </w:rPr>
        <w:t>VOC</w:t>
      </w:r>
      <w:r w:rsidR="00D66950" w:rsidRPr="00181BCE">
        <w:rPr>
          <w:vertAlign w:val="subscript"/>
        </w:rPr>
        <w:t>,3</w:t>
      </w:r>
      <w:r w:rsidR="00D66950">
        <w:rPr>
          <w:vertAlign w:val="subscript"/>
        </w:rPr>
        <w:t>i</w:t>
      </w:r>
      <w:r w:rsidR="00D66950">
        <w:t>) (</w:t>
      </w:r>
      <w:proofErr w:type="spellStart"/>
      <w:r w:rsidR="00D66950">
        <w:t>L</w:t>
      </w:r>
      <w:r w:rsidR="00D66950" w:rsidRPr="00D66950">
        <w:rPr>
          <w:vertAlign w:val="subscript"/>
        </w:rPr>
        <w:t>Ci</w:t>
      </w:r>
      <w:proofErr w:type="spellEnd"/>
      <w:r w:rsidR="00D66950">
        <w:t>) (</w:t>
      </w:r>
      <w:proofErr w:type="spellStart"/>
      <w:r w:rsidR="00D66950">
        <w:t>V</w:t>
      </w:r>
      <w:r w:rsidR="00D66950" w:rsidRPr="00D66950">
        <w:rPr>
          <w:vertAlign w:val="subscript"/>
        </w:rPr>
        <w:t>Si</w:t>
      </w:r>
      <w:proofErr w:type="spellEnd"/>
      <w:r w:rsidR="00D66950">
        <w:t>) / ∑ (</w:t>
      </w:r>
      <w:proofErr w:type="spellStart"/>
      <w:r w:rsidR="00D66950">
        <w:t>L</w:t>
      </w:r>
      <w:r w:rsidR="00D66950" w:rsidRPr="00D66950">
        <w:rPr>
          <w:vertAlign w:val="subscript"/>
        </w:rPr>
        <w:t>Ci</w:t>
      </w:r>
      <w:proofErr w:type="spellEnd"/>
      <w:r w:rsidR="00D66950">
        <w:t>) (</w:t>
      </w:r>
      <w:proofErr w:type="spellStart"/>
      <w:r w:rsidR="00D66950">
        <w:t>V</w:t>
      </w:r>
      <w:r w:rsidR="00D66950" w:rsidRPr="00D66950">
        <w:rPr>
          <w:vertAlign w:val="subscript"/>
        </w:rPr>
        <w:t>Si</w:t>
      </w:r>
      <w:proofErr w:type="spellEnd"/>
      <w:r w:rsidR="00D66950">
        <w:t>)</w:t>
      </w:r>
    </w:p>
    <w:p w:rsidR="00D66950" w:rsidRDefault="00D66950" w:rsidP="00D66950">
      <w:pPr>
        <w:pStyle w:val="Level5Paragraph"/>
        <w:tabs>
          <w:tab w:val="left" w:pos="3870"/>
          <w:tab w:val="left" w:pos="6030"/>
        </w:tabs>
      </w:pPr>
      <w:r>
        <w:tab/>
      </w:r>
      <w:proofErr w:type="spellStart"/>
      <w:r>
        <w:t>i</w:t>
      </w:r>
      <w:proofErr w:type="spellEnd"/>
      <w:r>
        <w:t>=1</w:t>
      </w:r>
      <w:r>
        <w:tab/>
      </w:r>
      <w:proofErr w:type="spellStart"/>
      <w:r>
        <w:t>i</w:t>
      </w:r>
      <w:proofErr w:type="spellEnd"/>
      <w:r>
        <w:t>=1</w:t>
      </w:r>
    </w:p>
    <w:p w:rsidR="001954BE" w:rsidRDefault="001954BE" w:rsidP="00D66950">
      <w:pPr>
        <w:pStyle w:val="Level5Paragraph"/>
        <w:tabs>
          <w:tab w:val="left" w:pos="3870"/>
          <w:tab w:val="left" w:pos="6030"/>
        </w:tabs>
      </w:pPr>
      <w:r>
        <w:t>where:</w:t>
      </w:r>
    </w:p>
    <w:p w:rsidR="001954BE" w:rsidRDefault="001954BE" w:rsidP="007F293F">
      <w:pPr>
        <w:pStyle w:val="Level5Paragraph"/>
        <w:tabs>
          <w:tab w:val="left" w:pos="3870"/>
          <w:tab w:val="left" w:pos="6030"/>
        </w:tabs>
        <w:ind w:left="3870" w:hanging="990"/>
      </w:pPr>
      <w:r>
        <w:t>(C</w:t>
      </w:r>
      <w:r>
        <w:rPr>
          <w:vertAlign w:val="subscript"/>
        </w:rPr>
        <w:t>VOC</w:t>
      </w:r>
      <w:r w:rsidRPr="00181BCE">
        <w:rPr>
          <w:vertAlign w:val="subscript"/>
        </w:rPr>
        <w:t>,</w:t>
      </w:r>
      <w:proofErr w:type="gramStart"/>
      <w:r w:rsidRPr="00181BCE">
        <w:rPr>
          <w:vertAlign w:val="subscript"/>
        </w:rPr>
        <w:t>3</w:t>
      </w:r>
      <w:r>
        <w:t>)</w:t>
      </w:r>
      <w:r>
        <w:rPr>
          <w:vertAlign w:val="subscript"/>
        </w:rPr>
        <w:t>A</w:t>
      </w:r>
      <w:proofErr w:type="gramEnd"/>
      <w:r>
        <w:t xml:space="preserve"> =</w:t>
      </w:r>
      <w:r w:rsidR="0047148C">
        <w:t xml:space="preserve"> </w:t>
      </w:r>
      <w:r w:rsidR="0047148C" w:rsidRPr="00F377AA">
        <w:t>daily volume</w:t>
      </w:r>
      <w:r w:rsidR="0047148C" w:rsidRPr="00F377AA">
        <w:noBreakHyphen/>
        <w:t>weighted average VOC content</w:t>
      </w:r>
      <w:r w:rsidR="0047148C">
        <w:t xml:space="preserve"> </w:t>
      </w:r>
      <w:r w:rsidR="0047148C" w:rsidRPr="00F377AA">
        <w:t>(in pounds of VOC per gallon of coating solids, as applied)</w:t>
      </w:r>
    </w:p>
    <w:p w:rsidR="0047148C" w:rsidRDefault="0047148C" w:rsidP="00D66950">
      <w:pPr>
        <w:pStyle w:val="Level5Paragraph"/>
        <w:tabs>
          <w:tab w:val="left" w:pos="3870"/>
          <w:tab w:val="left" w:pos="6030"/>
        </w:tabs>
      </w:pPr>
      <w:r>
        <w:t>C</w:t>
      </w:r>
      <w:r>
        <w:rPr>
          <w:vertAlign w:val="subscript"/>
        </w:rPr>
        <w:t>VOC</w:t>
      </w:r>
      <w:r w:rsidRPr="00181BCE">
        <w:rPr>
          <w:vertAlign w:val="subscript"/>
        </w:rPr>
        <w:t>,3</w:t>
      </w:r>
      <w:r>
        <w:t xml:space="preserve"> = VOC content, in pounds of VOC per gallon of solids</w:t>
      </w:r>
    </w:p>
    <w:p w:rsidR="0047148C" w:rsidRDefault="0047148C" w:rsidP="00D66950">
      <w:pPr>
        <w:pStyle w:val="Level5Paragraph"/>
        <w:tabs>
          <w:tab w:val="left" w:pos="3870"/>
          <w:tab w:val="left" w:pos="6030"/>
        </w:tabs>
      </w:pPr>
      <w:r>
        <w:t>L</w:t>
      </w:r>
      <w:r w:rsidRPr="00D66950">
        <w:rPr>
          <w:vertAlign w:val="subscript"/>
        </w:rPr>
        <w:t>C</w:t>
      </w:r>
      <w:r>
        <w:t xml:space="preserve"> = liquid volume of each coating employed during the day</w:t>
      </w:r>
    </w:p>
    <w:p w:rsidR="0047148C" w:rsidRDefault="0047148C" w:rsidP="00D66950">
      <w:pPr>
        <w:pStyle w:val="Level5Paragraph"/>
        <w:tabs>
          <w:tab w:val="left" w:pos="3870"/>
          <w:tab w:val="left" w:pos="6030"/>
        </w:tabs>
      </w:pPr>
      <w:r>
        <w:t>V</w:t>
      </w:r>
      <w:r>
        <w:rPr>
          <w:vertAlign w:val="subscript"/>
        </w:rPr>
        <w:t>S</w:t>
      </w:r>
      <w:r>
        <w:t xml:space="preserve"> = volume fraction of solids in coating, in gallon of solids per gallon of coating</w:t>
      </w:r>
    </w:p>
    <w:p w:rsidR="0047148C" w:rsidRDefault="0047148C" w:rsidP="007F293F">
      <w:pPr>
        <w:pStyle w:val="Level5Paragraph"/>
        <w:tabs>
          <w:tab w:val="left" w:pos="3870"/>
          <w:tab w:val="left" w:pos="6030"/>
        </w:tabs>
        <w:ind w:left="3240" w:hanging="360"/>
      </w:pPr>
      <w:proofErr w:type="spellStart"/>
      <w:r>
        <w:t>i</w:t>
      </w:r>
      <w:proofErr w:type="spellEnd"/>
      <w:r>
        <w:t xml:space="preserve"> = subscript denoting a specific coating employed during the day</w:t>
      </w:r>
      <w:r w:rsidR="007F6407">
        <w:t xml:space="preserve"> or averaging period</w:t>
      </w:r>
    </w:p>
    <w:p w:rsidR="0047148C" w:rsidRPr="007F6407" w:rsidRDefault="007F6407" w:rsidP="007F293F">
      <w:pPr>
        <w:pStyle w:val="Level5Paragraph"/>
        <w:tabs>
          <w:tab w:val="left" w:pos="3870"/>
          <w:tab w:val="left" w:pos="6030"/>
        </w:tabs>
        <w:ind w:left="3330" w:hanging="450"/>
      </w:pPr>
      <w:r w:rsidRPr="007F6407">
        <w:t>A</w:t>
      </w:r>
      <w:r>
        <w:t xml:space="preserve"> = subscript denoting that the indicated VOC content is a weighted average of the coatings employed during the day or during the averaging period.</w:t>
      </w:r>
    </w:p>
    <w:p w:rsidR="00B15EC8" w:rsidRPr="00B15EC8" w:rsidRDefault="00B15EC8" w:rsidP="001A4259">
      <w:pPr>
        <w:pStyle w:val="Level5"/>
      </w:pPr>
      <w:r w:rsidRPr="00F377AA">
        <w:t xml:space="preserve">the calculated, controlled VOC emission rate, in pounds of VOC per gallon of </w:t>
      </w:r>
      <w:r w:rsidR="00F65157">
        <w:t xml:space="preserve">coating solids, as applied (the </w:t>
      </w:r>
      <w:r w:rsidRPr="00F377AA">
        <w:t>maximum VOC content</w:t>
      </w:r>
      <w:r w:rsidR="00F65157">
        <w:t xml:space="preserve"> of any coating applied</w:t>
      </w:r>
      <w:r w:rsidRPr="00F377AA">
        <w:t xml:space="preserve"> or the daily volume</w:t>
      </w:r>
      <w:r w:rsidRPr="00F377AA">
        <w:noBreakHyphen/>
        <w:t xml:space="preserve">weighted </w:t>
      </w:r>
      <w:r w:rsidR="007F6407">
        <w:t>average</w:t>
      </w:r>
      <w:r w:rsidR="00F65157">
        <w:t>)</w:t>
      </w:r>
      <w:r w:rsidR="007F6407">
        <w:t xml:space="preserve"> </w:t>
      </w:r>
      <w:r w:rsidR="00F65157">
        <w:t>using</w:t>
      </w:r>
      <w:r w:rsidRPr="00F377AA">
        <w:t xml:space="preserve"> </w:t>
      </w:r>
      <w:r w:rsidR="007F6407">
        <w:t xml:space="preserve">the overall control efficiency, </w:t>
      </w:r>
      <w:r w:rsidRPr="00F377AA">
        <w:t xml:space="preserve">as determined </w:t>
      </w:r>
      <w:r w:rsidR="007F6407">
        <w:t xml:space="preserve">for the </w:t>
      </w:r>
      <w:r w:rsidR="0020083A">
        <w:t>thermal oxidizer</w:t>
      </w:r>
      <w:r w:rsidR="007F6407">
        <w:t xml:space="preserve"> </w:t>
      </w:r>
      <w:r w:rsidRPr="00F377AA">
        <w:t>during the most recent emission test that demonstrated that the em</w:t>
      </w:r>
      <w:r w:rsidR="00F65157">
        <w:t>issions unit(s) was/were in compliance</w:t>
      </w:r>
      <w:r w:rsidR="00841131">
        <w:t>.</w:t>
      </w:r>
    </w:p>
    <w:p w:rsidR="00B15EC8" w:rsidRDefault="00B15EC8" w:rsidP="0008737D">
      <w:pPr>
        <w:pStyle w:val="Level4Paragraph"/>
        <w:rPr>
          <w:sz w:val="20"/>
          <w:szCs w:val="20"/>
        </w:rPr>
      </w:pPr>
      <w:r w:rsidRPr="0008737D">
        <w:rPr>
          <w:sz w:val="20"/>
          <w:szCs w:val="20"/>
        </w:rPr>
        <w:t>[OAC rule 3745</w:t>
      </w:r>
      <w:r w:rsidRPr="0008737D">
        <w:rPr>
          <w:sz w:val="20"/>
          <w:szCs w:val="20"/>
        </w:rPr>
        <w:noBreakHyphen/>
        <w:t>21</w:t>
      </w:r>
      <w:r w:rsidRPr="0008737D">
        <w:rPr>
          <w:sz w:val="20"/>
          <w:szCs w:val="20"/>
        </w:rPr>
        <w:noBreakHyphen/>
        <w:t>09(B)(3)(j)</w:t>
      </w:r>
      <w:r w:rsidR="002F51DB">
        <w:rPr>
          <w:sz w:val="20"/>
          <w:szCs w:val="20"/>
        </w:rPr>
        <w:t xml:space="preserve"> and OAC rule 3745-21-10(B)</w:t>
      </w:r>
      <w:r w:rsidRPr="0008737D">
        <w:rPr>
          <w:sz w:val="20"/>
          <w:szCs w:val="20"/>
        </w:rPr>
        <w:t>]</w:t>
      </w:r>
    </w:p>
    <w:p w:rsidR="0008737D" w:rsidRDefault="0008737D" w:rsidP="0008737D">
      <w:pPr>
        <w:pStyle w:val="Level4Paragraph"/>
        <w:ind w:left="0"/>
      </w:pPr>
    </w:p>
    <w:p w:rsidR="006102DC" w:rsidRPr="005A2F34" w:rsidRDefault="00AA6A7D" w:rsidP="00B011C1">
      <w:pPr>
        <w:pStyle w:val="Level4Paragraph"/>
        <w:spacing w:after="0"/>
        <w:ind w:left="1080" w:hanging="1080"/>
      </w:pPr>
      <w:r>
        <w:rPr>
          <w:rFonts w:cs="Century Gothic"/>
          <w:b/>
          <w:bCs/>
          <w:color w:val="000000"/>
        </w:rPr>
        <w:t>B.6.k</w:t>
      </w:r>
      <w:r w:rsidR="006102DC" w:rsidRPr="0093325B">
        <w:rPr>
          <w:rFonts w:cs="Century Gothic"/>
          <w:b/>
          <w:bCs/>
          <w:color w:val="000000"/>
        </w:rPr>
        <w:tab/>
      </w:r>
      <w:r w:rsidR="006102DC" w:rsidRPr="0093325B">
        <w:rPr>
          <w:rFonts w:cs="Century Gothic"/>
          <w:b/>
          <w:bCs/>
          <w:color w:val="800000"/>
          <w:u w:val="single"/>
        </w:rPr>
        <w:t>Record Keeping Requirements</w:t>
      </w:r>
      <w:r w:rsidR="006102DC" w:rsidRPr="0093325B">
        <w:rPr>
          <w:rFonts w:cs="Century Gothic"/>
          <w:b/>
          <w:bCs/>
          <w:color w:val="000000"/>
        </w:rPr>
        <w:t xml:space="preserve"> </w:t>
      </w:r>
      <w:r w:rsidR="005A2F34" w:rsidRPr="0093325B">
        <w:rPr>
          <w:rFonts w:cs="Century Gothic"/>
          <w:b/>
          <w:bCs/>
          <w:color w:val="000000"/>
        </w:rPr>
        <w:t xml:space="preserve">for </w:t>
      </w:r>
      <w:r w:rsidR="005A2F34">
        <w:rPr>
          <w:rFonts w:cs="Century Gothic"/>
          <w:b/>
          <w:bCs/>
          <w:color w:val="000000"/>
        </w:rPr>
        <w:t xml:space="preserve">the total emissions from a coating </w:t>
      </w:r>
      <w:r w:rsidR="005A2F34" w:rsidRPr="0093325B">
        <w:rPr>
          <w:rFonts w:cs="Century Gothic"/>
          <w:b/>
          <w:bCs/>
          <w:color w:val="000000"/>
        </w:rPr>
        <w:t>or printing</w:t>
      </w:r>
      <w:r w:rsidR="005A2F34">
        <w:rPr>
          <w:rFonts w:cs="Century Gothic"/>
          <w:b/>
          <w:bCs/>
          <w:color w:val="000000"/>
        </w:rPr>
        <w:t xml:space="preserve"> line </w:t>
      </w:r>
      <w:r w:rsidR="005A2F34" w:rsidRPr="00F377AA">
        <w:rPr>
          <w:rFonts w:cs="Century Gothic"/>
          <w:b/>
          <w:bCs/>
          <w:color w:val="000000"/>
        </w:rPr>
        <w:t xml:space="preserve">subject to a </w:t>
      </w:r>
      <w:r w:rsidR="005A2F34" w:rsidRPr="003245F0">
        <w:rPr>
          <w:rFonts w:cs="Century Gothic"/>
          <w:b/>
          <w:bCs/>
          <w:color w:val="C00000"/>
        </w:rPr>
        <w:t>pounds of VOC per gallon of solids</w:t>
      </w:r>
      <w:r w:rsidR="005A2F34" w:rsidRPr="00F377AA">
        <w:rPr>
          <w:rFonts w:cs="Century Gothic"/>
          <w:b/>
          <w:bCs/>
          <w:color w:val="000000"/>
        </w:rPr>
        <w:t xml:space="preserve"> limitation</w:t>
      </w:r>
      <w:r w:rsidR="005A2F34">
        <w:rPr>
          <w:rFonts w:cs="Century Gothic"/>
          <w:b/>
          <w:bCs/>
          <w:color w:val="000000"/>
        </w:rPr>
        <w:t xml:space="preserve"> and using a thermal oxidizer for control</w:t>
      </w:r>
    </w:p>
    <w:p w:rsidR="006102DC" w:rsidRPr="008B7E4C" w:rsidRDefault="006102DC" w:rsidP="00B011C1">
      <w:pPr>
        <w:tabs>
          <w:tab w:val="left" w:pos="-480"/>
          <w:tab w:val="left" w:pos="0"/>
          <w:tab w:val="left" w:pos="2160"/>
          <w:tab w:val="left" w:pos="2649"/>
          <w:tab w:val="left" w:pos="2880"/>
          <w:tab w:val="left" w:pos="3240"/>
          <w:tab w:val="left" w:pos="3648"/>
          <w:tab w:val="left" w:pos="4320"/>
          <w:tab w:val="left" w:pos="5040"/>
          <w:tab w:val="left" w:pos="5760"/>
          <w:tab w:val="left" w:pos="6030"/>
          <w:tab w:val="left" w:pos="6480"/>
          <w:tab w:val="left" w:pos="7200"/>
          <w:tab w:val="left" w:pos="7920"/>
          <w:tab w:val="left" w:pos="8640"/>
          <w:tab w:val="left" w:pos="9360"/>
          <w:tab w:val="left" w:pos="10080"/>
          <w:tab w:val="left" w:pos="10800"/>
        </w:tabs>
        <w:ind w:left="0" w:firstLine="0"/>
        <w:rPr>
          <w:rFonts w:ascii="Arial" w:hAnsi="Arial" w:cs="Century Gothic"/>
          <w:color w:val="000000"/>
        </w:rPr>
      </w:pPr>
    </w:p>
    <w:p w:rsidR="00A27906" w:rsidRDefault="00A27906" w:rsidP="00A27906">
      <w:pPr>
        <w:pStyle w:val="Level4"/>
        <w:numPr>
          <w:ilvl w:val="3"/>
          <w:numId w:val="1"/>
        </w:numPr>
      </w:pPr>
      <w:r w:rsidRPr="00F377AA">
        <w:t xml:space="preserve">The permittee shall collect and record the following information </w:t>
      </w:r>
      <w:r>
        <w:t xml:space="preserve">on a </w:t>
      </w:r>
      <w:r w:rsidR="00B011C1" w:rsidRPr="00B011C1">
        <w:t>daily</w:t>
      </w:r>
      <w:r>
        <w:t xml:space="preserve"> basis </w:t>
      </w:r>
      <w:r w:rsidRPr="00F377AA">
        <w:t xml:space="preserve">for the </w:t>
      </w:r>
      <w:r>
        <w:t>coating and cleanup materials applied in</w:t>
      </w:r>
      <w:r w:rsidR="00B011C1">
        <w:t xml:space="preserve"> this emissions unit</w:t>
      </w:r>
      <w:r w:rsidRPr="004B1C6A">
        <w:t>:</w:t>
      </w:r>
    </w:p>
    <w:p w:rsidR="00A27906" w:rsidRDefault="00A27906" w:rsidP="001A4259">
      <w:pPr>
        <w:pStyle w:val="Level5"/>
      </w:pPr>
      <w:r>
        <w:t>the number of gallons of coatings applied;</w:t>
      </w:r>
    </w:p>
    <w:p w:rsidR="00A27906" w:rsidRDefault="00A27906" w:rsidP="001A4259">
      <w:pPr>
        <w:pStyle w:val="Level5"/>
      </w:pPr>
      <w:r>
        <w:t>the total volume of solids from all coatings applied</w:t>
      </w:r>
      <w:r w:rsidRPr="00DB5660">
        <w:t>,</w:t>
      </w:r>
      <w:r>
        <w:rPr>
          <w:b/>
        </w:rPr>
        <w:t xml:space="preserve"> </w:t>
      </w:r>
      <w:r w:rsidRPr="00DB5660">
        <w:t>in gallons</w:t>
      </w:r>
      <w:r>
        <w:t>;</w:t>
      </w:r>
    </w:p>
    <w:p w:rsidR="00A27906" w:rsidRDefault="005411C1" w:rsidP="001A4259">
      <w:pPr>
        <w:pStyle w:val="Level5"/>
      </w:pPr>
      <w:r w:rsidRPr="00F377AA">
        <w:lastRenderedPageBreak/>
        <w:t>the daily volume</w:t>
      </w:r>
      <w:r w:rsidRPr="00F377AA">
        <w:noBreakHyphen/>
        <w:t>weighted average VOC content</w:t>
      </w:r>
      <w:r>
        <w:t xml:space="preserve"> </w:t>
      </w:r>
      <w:r w:rsidRPr="00A65F32">
        <w:rPr>
          <w:b/>
        </w:rPr>
        <w:t>or</w:t>
      </w:r>
      <w:r>
        <w:t xml:space="preserve"> </w:t>
      </w:r>
      <w:r w:rsidRPr="00F377AA">
        <w:t xml:space="preserve">the </w:t>
      </w:r>
      <w:r>
        <w:t>maximum VOC content of the coatings applied, in pounds of VOC per gallon of coating solids, as calculated above</w:t>
      </w:r>
      <w:r w:rsidRPr="00F377AA">
        <w:t>;</w:t>
      </w:r>
    </w:p>
    <w:p w:rsidR="00A27906" w:rsidRDefault="00A27906" w:rsidP="001A4259">
      <w:pPr>
        <w:pStyle w:val="Level5"/>
      </w:pPr>
      <w:r>
        <w:t xml:space="preserve">the uncontrolled VOC emissions from all coatings applied, i.e., “b” </w:t>
      </w:r>
      <w:r w:rsidR="00A6221B">
        <w:t>x</w:t>
      </w:r>
      <w:r>
        <w:t xml:space="preserve"> “c”;</w:t>
      </w:r>
    </w:p>
    <w:p w:rsidR="00A27906" w:rsidRDefault="00A27906" w:rsidP="001A4259">
      <w:pPr>
        <w:pStyle w:val="Level5"/>
      </w:pPr>
      <w:r>
        <w:t>the overall control efficiency determined for the thermal oxidizer during the most recent demonstration of compliance;</w:t>
      </w:r>
    </w:p>
    <w:p w:rsidR="00A27906" w:rsidRPr="00FE16E8" w:rsidRDefault="00A27906" w:rsidP="001A4259">
      <w:pPr>
        <w:pStyle w:val="Level5"/>
      </w:pPr>
      <w:r>
        <w:t xml:space="preserve">the total controlled VOC emissions from all coatings applied, i.e., “d” </w:t>
      </w:r>
      <w:r w:rsidR="00A6221B">
        <w:t>x</w:t>
      </w:r>
      <w:r>
        <w:t xml:space="preserve"> “e”;</w:t>
      </w:r>
    </w:p>
    <w:p w:rsidR="00A27906" w:rsidRPr="0093325B" w:rsidRDefault="00A27906" w:rsidP="001A4259">
      <w:pPr>
        <w:pStyle w:val="Level5"/>
      </w:pPr>
      <w:r w:rsidRPr="0093325B">
        <w:t>the name and identification of each cleanup material employed;</w:t>
      </w:r>
    </w:p>
    <w:p w:rsidR="00A27906" w:rsidRPr="0093325B" w:rsidRDefault="00A27906" w:rsidP="001A4259">
      <w:pPr>
        <w:pStyle w:val="Level5"/>
      </w:pPr>
      <w:r w:rsidRPr="0093325B">
        <w:t>the VOC content of each cleanup material, in pounds per gallon;</w:t>
      </w:r>
    </w:p>
    <w:p w:rsidR="00A27906" w:rsidRPr="0093325B" w:rsidRDefault="00A27906" w:rsidP="001A4259">
      <w:pPr>
        <w:pStyle w:val="Level5"/>
      </w:pPr>
      <w:r w:rsidRPr="0093325B">
        <w:t>the number of gallons of each cleanup material employed;</w:t>
      </w:r>
    </w:p>
    <w:p w:rsidR="00A27906" w:rsidRPr="0093325B" w:rsidRDefault="00A27906" w:rsidP="001A4259">
      <w:pPr>
        <w:pStyle w:val="Level5"/>
      </w:pPr>
      <w:r w:rsidRPr="00F377AA">
        <w:t xml:space="preserve">the </w:t>
      </w:r>
      <w:r>
        <w:t xml:space="preserve">total </w:t>
      </w:r>
      <w:r w:rsidRPr="00F377AA">
        <w:t>VOC emission</w:t>
      </w:r>
      <w:r>
        <w:t>s</w:t>
      </w:r>
      <w:r w:rsidRPr="00F377AA">
        <w:t xml:space="preserve"> from all clean</w:t>
      </w:r>
      <w:r>
        <w:t>up materials</w:t>
      </w:r>
      <w:r w:rsidR="00EA74B1">
        <w:t xml:space="preserve"> employed</w:t>
      </w:r>
      <w:r>
        <w:t xml:space="preserve">, i.e., the summation of the products of “h” </w:t>
      </w:r>
      <w:r w:rsidR="00A6221B">
        <w:t>x</w:t>
      </w:r>
      <w:r>
        <w:t xml:space="preserve"> “</w:t>
      </w:r>
      <w:proofErr w:type="spellStart"/>
      <w:r>
        <w:t>i</w:t>
      </w:r>
      <w:proofErr w:type="spellEnd"/>
      <w:r>
        <w:t>”</w:t>
      </w:r>
      <w:r w:rsidR="00EA74B1">
        <w:t>, in pounds</w:t>
      </w:r>
      <w:r w:rsidRPr="0093325B">
        <w:t>; and</w:t>
      </w:r>
    </w:p>
    <w:p w:rsidR="006102DC" w:rsidRDefault="001E2CE1" w:rsidP="001A4259">
      <w:pPr>
        <w:pStyle w:val="Level5"/>
      </w:pPr>
      <w:r w:rsidRPr="0093325B">
        <w:t>the total VOC emissions from all coatings and cleanup materials employed</w:t>
      </w:r>
      <w:r>
        <w:t xml:space="preserve"> during the </w:t>
      </w:r>
      <w:r w:rsidR="00B011C1" w:rsidRPr="00B011C1">
        <w:t>day</w:t>
      </w:r>
      <w:r>
        <w:t>, i.e.,</w:t>
      </w:r>
      <w:r w:rsidRPr="0093325B">
        <w:t xml:space="preserve"> </w:t>
      </w:r>
      <w:r>
        <w:t>“f” + “j”, in pounds</w:t>
      </w:r>
      <w:r w:rsidRPr="0093325B">
        <w:t>.</w:t>
      </w:r>
    </w:p>
    <w:p w:rsidR="00641EE3" w:rsidRPr="00B659DD" w:rsidRDefault="00641EE3" w:rsidP="00641EE3">
      <w:pPr>
        <w:pStyle w:val="Level1"/>
        <w:numPr>
          <w:ilvl w:val="0"/>
          <w:numId w:val="0"/>
        </w:numPr>
        <w:ind w:left="2160"/>
        <w:rPr>
          <w:sz w:val="20"/>
          <w:szCs w:val="20"/>
        </w:rPr>
      </w:pPr>
      <w:r w:rsidRPr="00B659DD">
        <w:rPr>
          <w:sz w:val="20"/>
          <w:szCs w:val="20"/>
        </w:rPr>
        <w:t>[OAC rule 3745</w:t>
      </w:r>
      <w:r w:rsidRPr="00B659DD">
        <w:rPr>
          <w:sz w:val="20"/>
          <w:szCs w:val="20"/>
        </w:rPr>
        <w:noBreakHyphen/>
        <w:t>31</w:t>
      </w:r>
      <w:r w:rsidRPr="00B659DD">
        <w:rPr>
          <w:sz w:val="20"/>
          <w:szCs w:val="20"/>
        </w:rPr>
        <w:noBreakHyphen/>
        <w:t>05(D) or (E)]</w:t>
      </w:r>
      <w:r w:rsidRPr="00B659DD">
        <w:rPr>
          <w:sz w:val="20"/>
          <w:szCs w:val="20"/>
        </w:rPr>
        <w:tab/>
      </w:r>
      <w:r>
        <w:rPr>
          <w:sz w:val="20"/>
          <w:szCs w:val="20"/>
        </w:rPr>
        <w:tab/>
      </w:r>
      <w:r w:rsidRPr="003245F0">
        <w:rPr>
          <w:b/>
          <w:color w:val="365F91" w:themeColor="accent1" w:themeShade="BF"/>
          <w:sz w:val="20"/>
          <w:szCs w:val="20"/>
        </w:rPr>
        <w:t>Director’s authority for special T&amp;Cs for compliance</w:t>
      </w:r>
    </w:p>
    <w:p w:rsidR="00641EE3" w:rsidRPr="00FE16E8" w:rsidRDefault="00641EE3" w:rsidP="009A3554">
      <w:pPr>
        <w:pStyle w:val="Level5"/>
        <w:numPr>
          <w:ilvl w:val="0"/>
          <w:numId w:val="0"/>
        </w:numPr>
        <w:ind w:left="2160"/>
      </w:pPr>
      <w:r w:rsidRPr="009A3554">
        <w:rPr>
          <w:sz w:val="20"/>
          <w:szCs w:val="20"/>
        </w:rPr>
        <w:t>[OAC rule 3745</w:t>
      </w:r>
      <w:r w:rsidRPr="009A3554">
        <w:rPr>
          <w:sz w:val="20"/>
          <w:szCs w:val="20"/>
        </w:rPr>
        <w:noBreakHyphen/>
        <w:t>31</w:t>
      </w:r>
      <w:r w:rsidRPr="009A3554">
        <w:rPr>
          <w:sz w:val="20"/>
          <w:szCs w:val="20"/>
        </w:rPr>
        <w:noBreakHyphen/>
        <w:t>05(A)(3)]</w:t>
      </w:r>
      <w:r w:rsidRPr="00B659DD">
        <w:tab/>
      </w:r>
      <w:r w:rsidRPr="00B659DD">
        <w:tab/>
      </w:r>
      <w:r w:rsidRPr="003245F0">
        <w:rPr>
          <w:b/>
          <w:color w:val="365F91" w:themeColor="accent1" w:themeShade="BF"/>
        </w:rPr>
        <w:t>if BAT</w:t>
      </w:r>
    </w:p>
    <w:p w:rsidR="00B15EC8" w:rsidRPr="00F377AA" w:rsidRDefault="00B15EC8" w:rsidP="0008737D">
      <w:pPr>
        <w:tabs>
          <w:tab w:val="left" w:pos="-48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rPr>
          <w:rFonts w:ascii="Arial" w:hAnsi="Arial" w:cs="Century Gothic"/>
          <w:color w:val="000000"/>
        </w:rPr>
      </w:pPr>
    </w:p>
    <w:p w:rsidR="00B15EC8" w:rsidRPr="00F377AA" w:rsidRDefault="00AA6A7D" w:rsidP="000F5193">
      <w:pPr>
        <w:tabs>
          <w:tab w:val="left" w:pos="-48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rPr>
          <w:rFonts w:ascii="Arial" w:hAnsi="Arial" w:cs="Century Gothic"/>
          <w:color w:val="000000"/>
        </w:rPr>
      </w:pPr>
      <w:r>
        <w:rPr>
          <w:rFonts w:ascii="Arial" w:hAnsi="Arial" w:cs="Century Gothic"/>
          <w:b/>
          <w:bCs/>
          <w:color w:val="000000"/>
        </w:rPr>
        <w:t>B.6.l</w:t>
      </w:r>
      <w:r w:rsidR="00B15EC8" w:rsidRPr="00F377AA">
        <w:rPr>
          <w:rFonts w:ascii="Arial" w:hAnsi="Arial" w:cs="Century Gothic"/>
          <w:b/>
          <w:bCs/>
          <w:color w:val="000000"/>
        </w:rPr>
        <w:tab/>
      </w:r>
      <w:r w:rsidR="00B15EC8" w:rsidRPr="00F377AA">
        <w:rPr>
          <w:rFonts w:ascii="Arial" w:hAnsi="Arial" w:cs="Century Gothic"/>
          <w:b/>
          <w:bCs/>
          <w:color w:val="800000"/>
          <w:u w:val="single"/>
        </w:rPr>
        <w:t>Reporting Requirements</w:t>
      </w:r>
      <w:r w:rsidR="00B15EC8" w:rsidRPr="00F377AA">
        <w:rPr>
          <w:rFonts w:ascii="Arial" w:hAnsi="Arial" w:cs="Century Gothic"/>
          <w:b/>
          <w:bCs/>
          <w:color w:val="000000"/>
        </w:rPr>
        <w:t xml:space="preserve"> </w:t>
      </w:r>
      <w:proofErr w:type="spellStart"/>
      <w:r w:rsidR="009860D3" w:rsidRPr="00F377AA">
        <w:rPr>
          <w:rFonts w:ascii="Arial" w:hAnsi="Arial" w:cs="Century Gothic"/>
          <w:b/>
          <w:bCs/>
          <w:color w:val="000000"/>
        </w:rPr>
        <w:t>requirements</w:t>
      </w:r>
      <w:proofErr w:type="spellEnd"/>
      <w:r w:rsidR="009860D3" w:rsidRPr="00F377AA">
        <w:rPr>
          <w:rFonts w:ascii="Arial" w:hAnsi="Arial" w:cs="Century Gothic"/>
          <w:b/>
          <w:bCs/>
          <w:color w:val="000000"/>
        </w:rPr>
        <w:t xml:space="preserve"> for a coating or printing line subject to a </w:t>
      </w:r>
      <w:r w:rsidR="009860D3" w:rsidRPr="003245F0">
        <w:rPr>
          <w:rFonts w:ascii="Arial" w:hAnsi="Arial" w:cs="Century Gothic"/>
          <w:b/>
          <w:bCs/>
          <w:color w:val="C00000"/>
        </w:rPr>
        <w:t>pounds of VOC per gallon of solids</w:t>
      </w:r>
      <w:r w:rsidR="009860D3" w:rsidRPr="00F377AA">
        <w:rPr>
          <w:rFonts w:ascii="Arial" w:hAnsi="Arial" w:cs="Century Gothic"/>
          <w:b/>
          <w:bCs/>
          <w:color w:val="000000"/>
        </w:rPr>
        <w:t xml:space="preserve"> limitation as a maximum VOC content or as a daily volume-weighted average, and where the coating line is equipped with a </w:t>
      </w:r>
      <w:r w:rsidRPr="003245F0">
        <w:rPr>
          <w:rFonts w:ascii="Arial" w:hAnsi="Arial" w:cs="Century Gothic"/>
          <w:b/>
          <w:bCs/>
          <w:color w:val="C00000"/>
        </w:rPr>
        <w:t>thermal oxidizer</w:t>
      </w:r>
      <w:r w:rsidR="00B15EC8" w:rsidRPr="00F377AA">
        <w:rPr>
          <w:rFonts w:ascii="Arial" w:hAnsi="Arial" w:cs="Century Gothic"/>
          <w:color w:val="000000"/>
        </w:rPr>
        <w:t xml:space="preserve"> </w:t>
      </w:r>
      <w:r w:rsidR="00B15EC8" w:rsidRPr="00F377AA">
        <w:rPr>
          <w:rFonts w:ascii="Arial" w:hAnsi="Arial" w:cs="Century Gothic"/>
          <w:b/>
          <w:bCs/>
          <w:color w:val="008000"/>
          <w:sz w:val="20"/>
          <w:szCs w:val="20"/>
        </w:rPr>
        <w:t>[O</w:t>
      </w:r>
      <w:r w:rsidR="009860D3">
        <w:rPr>
          <w:rFonts w:ascii="Arial" w:hAnsi="Arial" w:cs="Century Gothic"/>
          <w:b/>
          <w:bCs/>
          <w:color w:val="008000"/>
          <w:sz w:val="20"/>
          <w:szCs w:val="20"/>
        </w:rPr>
        <w:t>AC rule 3745</w:t>
      </w:r>
      <w:r w:rsidR="009860D3">
        <w:rPr>
          <w:rFonts w:ascii="Arial" w:hAnsi="Arial" w:cs="Century Gothic"/>
          <w:b/>
          <w:bCs/>
          <w:color w:val="008000"/>
          <w:sz w:val="20"/>
          <w:szCs w:val="20"/>
        </w:rPr>
        <w:noBreakHyphen/>
        <w:t>21</w:t>
      </w:r>
      <w:r w:rsidR="009860D3">
        <w:rPr>
          <w:rFonts w:ascii="Arial" w:hAnsi="Arial" w:cs="Century Gothic"/>
          <w:b/>
          <w:bCs/>
          <w:color w:val="008000"/>
          <w:sz w:val="20"/>
          <w:szCs w:val="20"/>
        </w:rPr>
        <w:noBreakHyphen/>
        <w:t>09(B)(3)</w:t>
      </w:r>
      <w:r w:rsidR="00B15EC8" w:rsidRPr="00F377AA">
        <w:rPr>
          <w:rFonts w:ascii="Arial" w:hAnsi="Arial" w:cs="Century Gothic"/>
          <w:b/>
          <w:bCs/>
          <w:color w:val="008000"/>
          <w:sz w:val="20"/>
          <w:szCs w:val="20"/>
        </w:rPr>
        <w:t>(k)]</w:t>
      </w:r>
    </w:p>
    <w:p w:rsidR="00B15EC8" w:rsidRDefault="00B15EC8" w:rsidP="0008737D">
      <w:pPr>
        <w:pStyle w:val="Level4"/>
      </w:pPr>
      <w:r w:rsidRPr="00F377AA">
        <w:t>The permittee shall notify the Director (the appropriate Ohio EPA District Office or local air agency) in writing of any daily record showing that the calculated, controlled VOC emission rate exceeds the applicable pounds of VOC per gallon of solids limitation.  The notification shall include a copy of such record and shall be sent to the Director (the appropriate Ohio EPA District Office or local air agency) within 45 days after the exceedance occurs.</w:t>
      </w:r>
    </w:p>
    <w:p w:rsidR="008E3BCB" w:rsidRDefault="008E3BCB" w:rsidP="008E3BCB">
      <w:pPr>
        <w:pStyle w:val="Level4Paragraph"/>
        <w:rPr>
          <w:sz w:val="20"/>
          <w:szCs w:val="20"/>
        </w:rPr>
      </w:pPr>
      <w:r w:rsidRPr="0008737D">
        <w:rPr>
          <w:sz w:val="20"/>
          <w:szCs w:val="20"/>
        </w:rPr>
        <w:t>[O</w:t>
      </w:r>
      <w:r>
        <w:rPr>
          <w:sz w:val="20"/>
          <w:szCs w:val="20"/>
        </w:rPr>
        <w:t>AC rule 3745</w:t>
      </w:r>
      <w:r>
        <w:rPr>
          <w:sz w:val="20"/>
          <w:szCs w:val="20"/>
        </w:rPr>
        <w:noBreakHyphen/>
        <w:t>21</w:t>
      </w:r>
      <w:r>
        <w:rPr>
          <w:sz w:val="20"/>
          <w:szCs w:val="20"/>
        </w:rPr>
        <w:noBreakHyphen/>
        <w:t>09(B)(3)</w:t>
      </w:r>
      <w:r w:rsidRPr="0008737D">
        <w:rPr>
          <w:sz w:val="20"/>
          <w:szCs w:val="20"/>
        </w:rPr>
        <w:t>(k)]</w:t>
      </w:r>
    </w:p>
    <w:p w:rsidR="008E3BCB" w:rsidRDefault="008E3BCB" w:rsidP="00BB6A9E">
      <w:pPr>
        <w:pStyle w:val="Level4Paragraph"/>
        <w:ind w:left="0"/>
      </w:pPr>
    </w:p>
    <w:p w:rsidR="008E3BCB" w:rsidRDefault="008E3BCB" w:rsidP="008E3BCB">
      <w:pPr>
        <w:pStyle w:val="Level4"/>
        <w:numPr>
          <w:ilvl w:val="0"/>
          <w:numId w:val="0"/>
        </w:numPr>
        <w:ind w:left="1080" w:hanging="1080"/>
        <w:rPr>
          <w:b/>
          <w:color w:val="009A46"/>
          <w:sz w:val="20"/>
          <w:szCs w:val="20"/>
        </w:rPr>
      </w:pPr>
      <w:r>
        <w:rPr>
          <w:b/>
          <w:bCs/>
        </w:rPr>
        <w:t>B.6.x</w:t>
      </w:r>
      <w:r w:rsidRPr="00CA7ED6">
        <w:rPr>
          <w:b/>
          <w:bCs/>
        </w:rPr>
        <w:tab/>
      </w:r>
      <w:r w:rsidRPr="00CA7ED6">
        <w:rPr>
          <w:b/>
          <w:bCs/>
          <w:color w:val="800000"/>
          <w:u w:val="single"/>
        </w:rPr>
        <w:t>Reporting Requirements</w:t>
      </w:r>
      <w:r w:rsidRPr="00CA7ED6">
        <w:rPr>
          <w:b/>
          <w:color w:val="009900"/>
          <w:sz w:val="20"/>
          <w:szCs w:val="20"/>
        </w:rPr>
        <w:t xml:space="preserve"> </w:t>
      </w:r>
      <w:r w:rsidR="007A6AB7" w:rsidRPr="00232C77">
        <w:rPr>
          <w:b/>
          <w:bCs/>
          <w:color w:val="009A46"/>
          <w:sz w:val="20"/>
          <w:szCs w:val="20"/>
        </w:rPr>
        <w:t>[OAC rule 3745-21-09(B)(3)(m)]</w:t>
      </w:r>
      <w:r w:rsidR="00232C77" w:rsidRPr="00232C77">
        <w:rPr>
          <w:b/>
          <w:bCs/>
          <w:color w:val="009A46"/>
          <w:sz w:val="20"/>
          <w:szCs w:val="20"/>
        </w:rPr>
        <w:t xml:space="preserve"> </w:t>
      </w:r>
      <w:r w:rsidR="00232C77" w:rsidRPr="00232C77">
        <w:rPr>
          <w:b/>
          <w:bCs/>
          <w:sz w:val="20"/>
          <w:szCs w:val="20"/>
        </w:rPr>
        <w:t>and</w:t>
      </w:r>
      <w:r w:rsidR="00232C77" w:rsidRPr="00232C77">
        <w:rPr>
          <w:b/>
          <w:bCs/>
          <w:color w:val="009A46"/>
          <w:sz w:val="20"/>
          <w:szCs w:val="20"/>
        </w:rPr>
        <w:t xml:space="preserve"> </w:t>
      </w:r>
      <w:r w:rsidR="00232C77" w:rsidRPr="00232C77">
        <w:rPr>
          <w:b/>
          <w:color w:val="009A46"/>
          <w:sz w:val="20"/>
          <w:szCs w:val="20"/>
        </w:rPr>
        <w:t>[OAC rule 3745</w:t>
      </w:r>
      <w:r w:rsidR="00232C77" w:rsidRPr="00232C77">
        <w:rPr>
          <w:b/>
          <w:color w:val="009A46"/>
          <w:sz w:val="20"/>
          <w:szCs w:val="20"/>
        </w:rPr>
        <w:noBreakHyphen/>
        <w:t>15</w:t>
      </w:r>
      <w:r w:rsidR="00232C77" w:rsidRPr="00232C77">
        <w:rPr>
          <w:b/>
          <w:color w:val="009A46"/>
          <w:sz w:val="20"/>
          <w:szCs w:val="20"/>
        </w:rPr>
        <w:noBreakHyphen/>
        <w:t>03(B), (C), and (D)]</w:t>
      </w:r>
      <w:r w:rsidR="001468FC">
        <w:rPr>
          <w:b/>
          <w:color w:val="009A46"/>
          <w:sz w:val="20"/>
          <w:szCs w:val="20"/>
        </w:rPr>
        <w:t xml:space="preserve"> </w:t>
      </w:r>
      <w:r w:rsidR="001468FC" w:rsidRPr="001468FC">
        <w:rPr>
          <w:b/>
          <w:sz w:val="20"/>
          <w:szCs w:val="20"/>
        </w:rPr>
        <w:t xml:space="preserve">and </w:t>
      </w:r>
      <w:r w:rsidR="001468FC" w:rsidRPr="00921566">
        <w:rPr>
          <w:b/>
          <w:color w:val="008A3E"/>
          <w:sz w:val="20"/>
          <w:szCs w:val="20"/>
        </w:rPr>
        <w:t>[OAC rule 3745-77-07(C)(1)]</w:t>
      </w:r>
      <w:r w:rsidR="001468FC" w:rsidRPr="001468FC">
        <w:rPr>
          <w:b/>
          <w:sz w:val="20"/>
          <w:szCs w:val="20"/>
        </w:rPr>
        <w:t xml:space="preserve"> if TV</w:t>
      </w:r>
    </w:p>
    <w:p w:rsidR="00FF01C9" w:rsidRDefault="00FF01C9" w:rsidP="005A4A7E">
      <w:pPr>
        <w:pStyle w:val="Level4"/>
        <w:numPr>
          <w:ilvl w:val="0"/>
          <w:numId w:val="0"/>
        </w:numPr>
        <w:ind w:left="720"/>
        <w:rPr>
          <w:b/>
          <w:bCs/>
          <w:color w:val="000000"/>
        </w:rPr>
      </w:pPr>
      <w:r>
        <w:rPr>
          <w:b/>
          <w:bCs/>
          <w:color w:val="000000"/>
        </w:rPr>
        <w:t xml:space="preserve">See the </w:t>
      </w:r>
      <w:r w:rsidRPr="003245F0">
        <w:rPr>
          <w:b/>
          <w:bCs/>
          <w:color w:val="C00000"/>
          <w:u w:val="single"/>
        </w:rPr>
        <w:t>parameter monitoring</w:t>
      </w:r>
      <w:r>
        <w:rPr>
          <w:b/>
          <w:bCs/>
          <w:color w:val="000000"/>
        </w:rPr>
        <w:t xml:space="preserve"> terms</w:t>
      </w:r>
      <w:r w:rsidR="00416E21">
        <w:rPr>
          <w:b/>
          <w:bCs/>
          <w:color w:val="000000"/>
        </w:rPr>
        <w:t>:</w:t>
      </w:r>
    </w:p>
    <w:p w:rsidR="00232C77" w:rsidRPr="005A4A7E" w:rsidRDefault="00FF01C9" w:rsidP="00FF01C9">
      <w:pPr>
        <w:pStyle w:val="Level4"/>
        <w:numPr>
          <w:ilvl w:val="0"/>
          <w:numId w:val="0"/>
        </w:numPr>
        <w:ind w:left="1440"/>
        <w:rPr>
          <w:b/>
          <w:bCs/>
        </w:rPr>
      </w:pPr>
      <w:r>
        <w:rPr>
          <w:b/>
          <w:bCs/>
          <w:color w:val="000000"/>
        </w:rPr>
        <w:t xml:space="preserve">See </w:t>
      </w:r>
      <w:r w:rsidR="00775D94">
        <w:rPr>
          <w:b/>
          <w:bCs/>
          <w:color w:val="000000"/>
        </w:rPr>
        <w:t xml:space="preserve">term </w:t>
      </w:r>
      <w:r w:rsidR="002F51DB">
        <w:rPr>
          <w:b/>
          <w:bCs/>
          <w:color w:val="000000"/>
        </w:rPr>
        <w:t xml:space="preserve">set </w:t>
      </w:r>
      <w:r w:rsidR="002F51DB" w:rsidRPr="003245F0">
        <w:rPr>
          <w:b/>
          <w:bCs/>
          <w:color w:val="365F91" w:themeColor="accent1" w:themeShade="BF"/>
        </w:rPr>
        <w:t>J.TO</w:t>
      </w:r>
      <w:r w:rsidR="002F51DB">
        <w:rPr>
          <w:b/>
          <w:bCs/>
          <w:color w:val="000000"/>
        </w:rPr>
        <w:t xml:space="preserve"> term </w:t>
      </w:r>
      <w:r w:rsidR="00232C77">
        <w:rPr>
          <w:b/>
          <w:bCs/>
          <w:color w:val="000000"/>
        </w:rPr>
        <w:t xml:space="preserve"># </w:t>
      </w:r>
      <w:r w:rsidR="002F51DB" w:rsidRPr="003245F0">
        <w:rPr>
          <w:b/>
          <w:bCs/>
          <w:color w:val="C00000"/>
        </w:rPr>
        <w:t>J.32</w:t>
      </w:r>
      <w:r w:rsidR="00232C77" w:rsidRPr="003245F0">
        <w:rPr>
          <w:b/>
          <w:bCs/>
          <w:color w:val="C00000"/>
        </w:rPr>
        <w:t>.e</w:t>
      </w:r>
      <w:r w:rsidR="00232C77">
        <w:rPr>
          <w:b/>
          <w:bCs/>
          <w:color w:val="000000"/>
        </w:rPr>
        <w:t xml:space="preserve"> </w:t>
      </w:r>
      <w:r w:rsidR="00775D94">
        <w:rPr>
          <w:b/>
          <w:bCs/>
          <w:color w:val="000000"/>
        </w:rPr>
        <w:t xml:space="preserve">for the </w:t>
      </w:r>
      <w:r w:rsidR="00775D94" w:rsidRPr="003245F0">
        <w:rPr>
          <w:b/>
          <w:bCs/>
          <w:color w:val="365F91" w:themeColor="accent1" w:themeShade="BF"/>
          <w:u w:val="single"/>
        </w:rPr>
        <w:t>Quarterly Summary</w:t>
      </w:r>
      <w:r w:rsidR="00775D94">
        <w:rPr>
          <w:b/>
          <w:bCs/>
          <w:color w:val="000000"/>
        </w:rPr>
        <w:t xml:space="preserve"> reporting requirements for d</w:t>
      </w:r>
      <w:r w:rsidR="00775D94" w:rsidRPr="00793007">
        <w:rPr>
          <w:b/>
          <w:bCs/>
          <w:color w:val="000000"/>
        </w:rPr>
        <w:t>eviations</w:t>
      </w:r>
      <w:r w:rsidR="00232C77">
        <w:rPr>
          <w:b/>
          <w:bCs/>
          <w:color w:val="000000"/>
        </w:rPr>
        <w:t xml:space="preserve"> </w:t>
      </w:r>
      <w:r w:rsidR="00775D94">
        <w:rPr>
          <w:b/>
          <w:bCs/>
          <w:color w:val="000000"/>
        </w:rPr>
        <w:t xml:space="preserve">from the appropriate </w:t>
      </w:r>
      <w:r w:rsidR="00232C77">
        <w:rPr>
          <w:b/>
          <w:bCs/>
          <w:color w:val="000000"/>
        </w:rPr>
        <w:t xml:space="preserve">temperature </w:t>
      </w:r>
      <w:r w:rsidR="00775D94">
        <w:rPr>
          <w:b/>
          <w:bCs/>
          <w:color w:val="000000"/>
        </w:rPr>
        <w:t>range</w:t>
      </w:r>
      <w:r w:rsidR="00232C77" w:rsidRPr="00793007">
        <w:rPr>
          <w:b/>
          <w:bCs/>
          <w:color w:val="000000"/>
        </w:rPr>
        <w:t xml:space="preserve"> </w:t>
      </w:r>
      <w:r w:rsidR="00232C77" w:rsidRPr="005A4A7E">
        <w:rPr>
          <w:b/>
          <w:bCs/>
        </w:rPr>
        <w:t xml:space="preserve">for </w:t>
      </w:r>
      <w:r w:rsidR="002F51DB">
        <w:rPr>
          <w:b/>
          <w:bCs/>
        </w:rPr>
        <w:t>thermal oxidizers</w:t>
      </w:r>
    </w:p>
    <w:p w:rsidR="001468FC" w:rsidRPr="001468FC" w:rsidRDefault="00775D94" w:rsidP="00FF01C9">
      <w:pPr>
        <w:pStyle w:val="Level4"/>
        <w:numPr>
          <w:ilvl w:val="0"/>
          <w:numId w:val="0"/>
        </w:numPr>
        <w:ind w:left="1440"/>
        <w:rPr>
          <w:b/>
          <w:bCs/>
        </w:rPr>
      </w:pPr>
      <w:r>
        <w:rPr>
          <w:b/>
          <w:bCs/>
          <w:color w:val="000000"/>
        </w:rPr>
        <w:t xml:space="preserve">See term set </w:t>
      </w:r>
      <w:r w:rsidRPr="003245F0">
        <w:rPr>
          <w:b/>
          <w:bCs/>
          <w:color w:val="365F91" w:themeColor="accent1" w:themeShade="BF"/>
        </w:rPr>
        <w:t>J.TO</w:t>
      </w:r>
      <w:r w:rsidR="00232C77">
        <w:rPr>
          <w:b/>
          <w:bCs/>
          <w:color w:val="000000"/>
        </w:rPr>
        <w:t xml:space="preserve"> term # </w:t>
      </w:r>
      <w:r w:rsidR="002F51DB" w:rsidRPr="003245F0">
        <w:rPr>
          <w:b/>
          <w:bCs/>
          <w:color w:val="C00000"/>
        </w:rPr>
        <w:t>J.32</w:t>
      </w:r>
      <w:r w:rsidR="00232C77" w:rsidRPr="003245F0">
        <w:rPr>
          <w:b/>
          <w:bCs/>
          <w:color w:val="C00000"/>
        </w:rPr>
        <w:t>.g</w:t>
      </w:r>
      <w:r w:rsidRPr="00775D94">
        <w:rPr>
          <w:b/>
          <w:bCs/>
        </w:rPr>
        <w:t xml:space="preserve"> for</w:t>
      </w:r>
      <w:r w:rsidR="00232C77">
        <w:rPr>
          <w:b/>
          <w:bCs/>
          <w:color w:val="000000"/>
        </w:rPr>
        <w:t xml:space="preserve"> the </w:t>
      </w:r>
      <w:r w:rsidR="00232C77" w:rsidRPr="003245F0">
        <w:rPr>
          <w:b/>
          <w:bCs/>
          <w:color w:val="365F91" w:themeColor="accent1" w:themeShade="BF"/>
          <w:u w:val="single"/>
        </w:rPr>
        <w:t>Quarterly Deviation Reporting</w:t>
      </w:r>
      <w:r w:rsidR="00232C77">
        <w:rPr>
          <w:b/>
          <w:bCs/>
        </w:rPr>
        <w:t xml:space="preserve"> </w:t>
      </w:r>
      <w:r w:rsidR="00FD1CB2">
        <w:rPr>
          <w:b/>
          <w:bCs/>
        </w:rPr>
        <w:t xml:space="preserve">or </w:t>
      </w:r>
      <w:r w:rsidR="00FD1CB2" w:rsidRPr="003245F0">
        <w:rPr>
          <w:b/>
          <w:bCs/>
          <w:color w:val="365F91" w:themeColor="accent1" w:themeShade="BF"/>
          <w:u w:val="single"/>
        </w:rPr>
        <w:t>Permit Evaluation Reporting</w:t>
      </w:r>
      <w:r w:rsidR="00FD1CB2">
        <w:rPr>
          <w:b/>
          <w:bCs/>
        </w:rPr>
        <w:t xml:space="preserve"> </w:t>
      </w:r>
      <w:r w:rsidR="00232C77">
        <w:rPr>
          <w:b/>
          <w:bCs/>
        </w:rPr>
        <w:t>r</w:t>
      </w:r>
      <w:r w:rsidR="00232C77" w:rsidRPr="00232C77">
        <w:rPr>
          <w:b/>
          <w:bCs/>
        </w:rPr>
        <w:t>equirements</w:t>
      </w:r>
      <w:r w:rsidR="00232C77">
        <w:rPr>
          <w:b/>
          <w:bCs/>
          <w:color w:val="000000"/>
        </w:rPr>
        <w:t xml:space="preserve"> </w:t>
      </w:r>
      <w:r w:rsidR="00232C77" w:rsidRPr="005A4A7E">
        <w:rPr>
          <w:b/>
          <w:bCs/>
        </w:rPr>
        <w:t xml:space="preserve">for </w:t>
      </w:r>
      <w:r w:rsidR="002F51DB">
        <w:rPr>
          <w:b/>
          <w:bCs/>
        </w:rPr>
        <w:t>thermal oxidizers</w:t>
      </w:r>
    </w:p>
    <w:p w:rsidR="00CD2B49" w:rsidRPr="001468FC" w:rsidRDefault="00CD2B49" w:rsidP="00303C0F">
      <w:pPr>
        <w:tabs>
          <w:tab w:val="left" w:pos="-48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0"/>
        <w:rPr>
          <w:rFonts w:ascii="Arial" w:hAnsi="Arial" w:cs="Arial"/>
          <w:b/>
        </w:rPr>
      </w:pPr>
      <w:r w:rsidRPr="001468FC">
        <w:rPr>
          <w:rFonts w:ascii="Arial" w:hAnsi="Arial" w:cs="Arial"/>
          <w:b/>
          <w:color w:val="000000" w:themeColor="text1"/>
        </w:rPr>
        <w:t xml:space="preserve">For </w:t>
      </w:r>
      <w:r w:rsidRPr="003245F0">
        <w:rPr>
          <w:rFonts w:ascii="Arial" w:hAnsi="Arial" w:cs="Arial"/>
          <w:b/>
          <w:color w:val="C00000"/>
        </w:rPr>
        <w:t>TV</w:t>
      </w:r>
      <w:r w:rsidRPr="003E1CDD">
        <w:rPr>
          <w:rFonts w:ascii="Arial" w:hAnsi="Arial" w:cs="Arial"/>
          <w:b/>
        </w:rPr>
        <w:t xml:space="preserve"> facilities</w:t>
      </w:r>
      <w:r w:rsidR="005A4A7E" w:rsidRPr="001468FC">
        <w:rPr>
          <w:rFonts w:ascii="Arial" w:hAnsi="Arial" w:cs="Arial"/>
          <w:b/>
        </w:rPr>
        <w:t xml:space="preserve"> and</w:t>
      </w:r>
      <w:r w:rsidR="005A4A7E" w:rsidRPr="003245F0">
        <w:rPr>
          <w:rFonts w:ascii="Arial" w:hAnsi="Arial" w:cs="Arial"/>
          <w:b/>
          <w:color w:val="C00000"/>
        </w:rPr>
        <w:t xml:space="preserve"> FEPTIOs</w:t>
      </w:r>
      <w:r w:rsidR="005A4A7E" w:rsidRPr="001468FC">
        <w:rPr>
          <w:rFonts w:ascii="Arial" w:hAnsi="Arial" w:cs="Arial"/>
          <w:b/>
        </w:rPr>
        <w:t xml:space="preserve"> this term</w:t>
      </w:r>
      <w:r w:rsidR="001468FC">
        <w:rPr>
          <w:rFonts w:ascii="Arial" w:hAnsi="Arial" w:cs="Arial"/>
          <w:b/>
        </w:rPr>
        <w:t>,</w:t>
      </w:r>
      <w:r w:rsidR="005A4A7E" w:rsidRPr="001468FC">
        <w:rPr>
          <w:rFonts w:ascii="Arial" w:hAnsi="Arial" w:cs="Arial"/>
          <w:b/>
        </w:rPr>
        <w:t xml:space="preserve"> </w:t>
      </w:r>
      <w:r w:rsidR="001468FC" w:rsidRPr="001468FC">
        <w:rPr>
          <w:rFonts w:ascii="Arial" w:hAnsi="Arial" w:cs="Arial"/>
          <w:b/>
          <w:bCs/>
          <w:color w:val="000000"/>
        </w:rPr>
        <w:t xml:space="preserve"># </w:t>
      </w:r>
      <w:r w:rsidR="00FD1CB2" w:rsidRPr="003245F0">
        <w:rPr>
          <w:rFonts w:ascii="Arial" w:hAnsi="Arial" w:cs="Arial"/>
          <w:b/>
          <w:bCs/>
          <w:color w:val="C00000"/>
        </w:rPr>
        <w:t>J.32</w:t>
      </w:r>
      <w:r w:rsidR="001468FC" w:rsidRPr="003245F0">
        <w:rPr>
          <w:rFonts w:ascii="Arial" w:hAnsi="Arial" w:cs="Arial"/>
          <w:b/>
          <w:bCs/>
          <w:color w:val="C00000"/>
        </w:rPr>
        <w:t>.g</w:t>
      </w:r>
      <w:r w:rsidR="00775D94">
        <w:rPr>
          <w:rFonts w:ascii="Arial" w:hAnsi="Arial" w:cs="Arial"/>
          <w:b/>
        </w:rPr>
        <w:t xml:space="preserve">, </w:t>
      </w:r>
      <w:r w:rsidR="00775D94" w:rsidRPr="001468FC">
        <w:rPr>
          <w:rFonts w:ascii="Arial" w:hAnsi="Arial" w:cs="Arial"/>
          <w:b/>
        </w:rPr>
        <w:t xml:space="preserve">is used as the fill-in-the-blank content for the appropriate quarterly deviation reporting </w:t>
      </w:r>
      <w:r w:rsidR="00775D94">
        <w:rPr>
          <w:rFonts w:ascii="Arial" w:hAnsi="Arial" w:cs="Arial"/>
          <w:b/>
        </w:rPr>
        <w:t xml:space="preserve">(file named RPT) </w:t>
      </w:r>
      <w:r w:rsidR="00775D94" w:rsidRPr="001468FC">
        <w:rPr>
          <w:rFonts w:ascii="Arial" w:hAnsi="Arial" w:cs="Arial"/>
          <w:b/>
        </w:rPr>
        <w:t xml:space="preserve">term in </w:t>
      </w:r>
      <w:r w:rsidR="00775D94" w:rsidRPr="003245F0">
        <w:rPr>
          <w:rFonts w:ascii="Arial" w:hAnsi="Arial" w:cs="Arial"/>
          <w:b/>
          <w:color w:val="365F91" w:themeColor="accent1" w:themeShade="BF"/>
        </w:rPr>
        <w:t>“</w:t>
      </w:r>
      <w:r w:rsidR="00775D94" w:rsidRPr="003245F0">
        <w:rPr>
          <w:rFonts w:ascii="Arial" w:hAnsi="Arial" w:cs="Arial"/>
          <w:b/>
          <w:color w:val="C00000"/>
        </w:rPr>
        <w:t>RPT.1</w:t>
      </w:r>
      <w:r w:rsidR="00775D94" w:rsidRPr="003245F0">
        <w:rPr>
          <w:rFonts w:ascii="Arial" w:hAnsi="Arial" w:cs="Arial"/>
          <w:b/>
          <w:color w:val="365F91" w:themeColor="accent1" w:themeShade="BF"/>
        </w:rPr>
        <w:t xml:space="preserve">” </w:t>
      </w:r>
      <w:r w:rsidR="00775D94">
        <w:rPr>
          <w:rFonts w:ascii="Arial" w:hAnsi="Arial" w:cs="Arial"/>
          <w:b/>
        </w:rPr>
        <w:t>for TV’s</w:t>
      </w:r>
      <w:r w:rsidR="00775D94" w:rsidRPr="001468FC">
        <w:rPr>
          <w:rFonts w:ascii="Arial" w:hAnsi="Arial" w:cs="Arial"/>
          <w:b/>
        </w:rPr>
        <w:t xml:space="preserve"> and</w:t>
      </w:r>
      <w:r w:rsidR="00775D94" w:rsidRPr="003245F0">
        <w:rPr>
          <w:rFonts w:ascii="Arial" w:hAnsi="Arial" w:cs="Arial"/>
          <w:b/>
          <w:color w:val="365F91" w:themeColor="accent1" w:themeShade="BF"/>
        </w:rPr>
        <w:t xml:space="preserve"> </w:t>
      </w:r>
      <w:r w:rsidR="00775D94" w:rsidRPr="001468FC">
        <w:rPr>
          <w:rFonts w:ascii="Arial" w:hAnsi="Arial" w:cs="Arial"/>
          <w:b/>
        </w:rPr>
        <w:t>“</w:t>
      </w:r>
      <w:r w:rsidR="00775D94" w:rsidRPr="003245F0">
        <w:rPr>
          <w:rFonts w:ascii="Arial" w:hAnsi="Arial" w:cs="Arial"/>
          <w:b/>
          <w:color w:val="C00000"/>
        </w:rPr>
        <w:t>RPT.2</w:t>
      </w:r>
      <w:r w:rsidR="00775D94" w:rsidRPr="001468FC">
        <w:rPr>
          <w:rFonts w:ascii="Arial" w:hAnsi="Arial" w:cs="Arial"/>
          <w:b/>
        </w:rPr>
        <w:t>” for FEPTIOs</w:t>
      </w:r>
    </w:p>
    <w:p w:rsidR="0008737D" w:rsidRDefault="0008737D" w:rsidP="0008737D">
      <w:pPr>
        <w:pStyle w:val="Level4Paragraph"/>
        <w:ind w:left="0"/>
      </w:pPr>
    </w:p>
    <w:p w:rsidR="00F075C8" w:rsidRPr="0008737D" w:rsidRDefault="009860D3" w:rsidP="00F075C8">
      <w:pPr>
        <w:pStyle w:val="Level4Paragraph"/>
        <w:ind w:left="1080" w:hanging="1080"/>
      </w:pPr>
      <w:r>
        <w:rPr>
          <w:rFonts w:cs="Century Gothic"/>
          <w:b/>
          <w:bCs/>
          <w:color w:val="000000"/>
        </w:rPr>
        <w:t>B.3</w:t>
      </w:r>
      <w:r w:rsidR="00F075C8">
        <w:rPr>
          <w:rFonts w:cs="Century Gothic"/>
          <w:b/>
          <w:bCs/>
          <w:color w:val="000000"/>
        </w:rPr>
        <w:t>.f</w:t>
      </w:r>
      <w:r w:rsidR="00F075C8" w:rsidRPr="00EF7DED">
        <w:rPr>
          <w:rFonts w:cs="Century Gothic"/>
          <w:b/>
          <w:bCs/>
          <w:color w:val="000000"/>
        </w:rPr>
        <w:tab/>
      </w:r>
      <w:r w:rsidR="00F075C8" w:rsidRPr="00EF7DED">
        <w:rPr>
          <w:rFonts w:cs="Century Gothic"/>
          <w:b/>
          <w:bCs/>
          <w:color w:val="800000"/>
          <w:u w:val="single"/>
        </w:rPr>
        <w:t>Reporting Requirements</w:t>
      </w:r>
      <w:r w:rsidR="00F075C8" w:rsidRPr="00722ACE">
        <w:rPr>
          <w:rFonts w:cs="Century Gothic"/>
          <w:b/>
          <w:bCs/>
        </w:rPr>
        <w:t xml:space="preserve"> for</w:t>
      </w:r>
      <w:r w:rsidR="00F075C8">
        <w:rPr>
          <w:rFonts w:cs="Century Gothic"/>
          <w:b/>
          <w:bCs/>
        </w:rPr>
        <w:t xml:space="preserve"> an annual VOC emission limitation, where applicable</w:t>
      </w:r>
    </w:p>
    <w:p w:rsidR="00B15EC8" w:rsidRPr="003245F0" w:rsidRDefault="00B15EC8" w:rsidP="00101792">
      <w:pPr>
        <w:tabs>
          <w:tab w:val="left" w:pos="-4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firstLine="0"/>
        <w:rPr>
          <w:rFonts w:ascii="Arial" w:hAnsi="Arial" w:cs="Century Gothic"/>
          <w:b/>
          <w:bCs/>
          <w:i/>
          <w:iCs/>
          <w:color w:val="365F91" w:themeColor="accent1" w:themeShade="BF"/>
        </w:rPr>
      </w:pPr>
      <w:r w:rsidRPr="003245F0">
        <w:rPr>
          <w:rFonts w:ascii="Arial" w:hAnsi="Arial" w:cs="Century Gothic"/>
          <w:b/>
          <w:bCs/>
          <w:i/>
          <w:iCs/>
          <w:color w:val="365F91" w:themeColor="accent1" w:themeShade="BF"/>
        </w:rPr>
        <w:t xml:space="preserve">Please note that the following section must be added to this term and condition if the emissions unit is subject to an </w:t>
      </w:r>
      <w:r w:rsidRPr="003245F0">
        <w:rPr>
          <w:rFonts w:ascii="Arial" w:hAnsi="Arial" w:cs="Century Gothic"/>
          <w:b/>
          <w:bCs/>
          <w:i/>
          <w:iCs/>
          <w:color w:val="C00000"/>
        </w:rPr>
        <w:t>annual VOC emission limitation</w:t>
      </w:r>
      <w:r w:rsidRPr="003245F0">
        <w:rPr>
          <w:rFonts w:ascii="Arial" w:hAnsi="Arial" w:cs="Century Gothic"/>
          <w:b/>
          <w:bCs/>
          <w:i/>
          <w:iCs/>
          <w:color w:val="365F91" w:themeColor="accent1" w:themeShade="BF"/>
        </w:rPr>
        <w:t>.</w:t>
      </w:r>
    </w:p>
    <w:p w:rsidR="00F075C8" w:rsidRPr="00F377AA" w:rsidRDefault="00F075C8" w:rsidP="00F075C8">
      <w:pPr>
        <w:tabs>
          <w:tab w:val="left" w:pos="-48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hAnsi="Arial" w:cs="Century Gothic"/>
          <w:color w:val="000000"/>
        </w:rPr>
      </w:pPr>
      <w:r w:rsidRPr="003245F0">
        <w:rPr>
          <w:rFonts w:ascii="Arial" w:hAnsi="Arial" w:cs="Century Gothic"/>
          <w:b/>
          <w:bCs/>
          <w:i/>
          <w:iCs/>
          <w:color w:val="C00000"/>
        </w:rPr>
        <w:t>Note:</w:t>
      </w:r>
      <w:r w:rsidRPr="003245F0">
        <w:rPr>
          <w:rFonts w:ascii="Arial" w:hAnsi="Arial" w:cs="Century Gothic"/>
          <w:b/>
          <w:bCs/>
          <w:i/>
          <w:iCs/>
          <w:color w:val="365F91" w:themeColor="accent1" w:themeShade="BF"/>
        </w:rPr>
        <w:t xml:space="preserve">  If the emissions limit is a rolling 12 month or rolling </w:t>
      </w:r>
      <w:proofErr w:type="gramStart"/>
      <w:r w:rsidRPr="003245F0">
        <w:rPr>
          <w:rFonts w:ascii="Arial" w:hAnsi="Arial" w:cs="Century Gothic"/>
          <w:b/>
          <w:bCs/>
          <w:i/>
          <w:iCs/>
          <w:color w:val="365F91" w:themeColor="accent1" w:themeShade="BF"/>
        </w:rPr>
        <w:t>365 day</w:t>
      </w:r>
      <w:proofErr w:type="gramEnd"/>
      <w:r w:rsidRPr="003245F0">
        <w:rPr>
          <w:rFonts w:ascii="Arial" w:hAnsi="Arial" w:cs="Century Gothic"/>
          <w:b/>
          <w:bCs/>
          <w:i/>
          <w:iCs/>
          <w:color w:val="365F91" w:themeColor="accent1" w:themeShade="BF"/>
        </w:rPr>
        <w:t xml:space="preserve"> limit see the “Y” terms, for rolling VOC emission limitations.  Terms for rolling coating usage limitations are found in the “W” terms.</w:t>
      </w:r>
    </w:p>
    <w:p w:rsidR="00B15EC8" w:rsidRPr="003245F0" w:rsidRDefault="00B15EC8" w:rsidP="00101792">
      <w:pPr>
        <w:tabs>
          <w:tab w:val="left" w:pos="-4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firstLine="0"/>
        <w:rPr>
          <w:rFonts w:ascii="Arial" w:hAnsi="Arial" w:cs="Century Gothic"/>
          <w:color w:val="365F91" w:themeColor="accent1" w:themeShade="BF"/>
        </w:rPr>
      </w:pPr>
      <w:r w:rsidRPr="003245F0">
        <w:rPr>
          <w:rFonts w:ascii="Arial" w:hAnsi="Arial" w:cs="Century Gothic"/>
          <w:b/>
          <w:bCs/>
          <w:i/>
          <w:iCs/>
          <w:color w:val="365F91" w:themeColor="accent1" w:themeShade="BF"/>
        </w:rPr>
        <w:t>This term may be used for a Title V or non-Title V Facility:</w:t>
      </w:r>
    </w:p>
    <w:p w:rsidR="00B15EC8" w:rsidRPr="0008737D" w:rsidRDefault="00B15EC8" w:rsidP="0008737D">
      <w:pPr>
        <w:pStyle w:val="Level4"/>
        <w:spacing w:after="0"/>
        <w:rPr>
          <w:strike/>
        </w:rPr>
      </w:pPr>
      <w:r w:rsidRPr="00F377AA">
        <w:t>The permittee shall also submit annual reports that specify the total VOC emissions from this emissions unit for the previous calendar year.  These reports shall be submitted by January 31 of each year.</w:t>
      </w:r>
    </w:p>
    <w:p w:rsidR="0008737D" w:rsidRPr="00B15EC8" w:rsidRDefault="0008737D" w:rsidP="0008737D">
      <w:pPr>
        <w:pStyle w:val="Level4"/>
        <w:numPr>
          <w:ilvl w:val="0"/>
          <w:numId w:val="0"/>
        </w:numPr>
        <w:rPr>
          <w:strike/>
        </w:rPr>
      </w:pPr>
    </w:p>
    <w:p w:rsidR="00B15EC8" w:rsidRPr="00F377AA" w:rsidRDefault="00B15EC8" w:rsidP="00101792">
      <w:pPr>
        <w:tabs>
          <w:tab w:val="left" w:pos="-4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firstLine="0"/>
        <w:rPr>
          <w:rFonts w:ascii="Arial" w:hAnsi="Arial" w:cs="Century Gothic"/>
          <w:strike/>
          <w:color w:val="000000"/>
        </w:rPr>
      </w:pPr>
      <w:r w:rsidRPr="003245F0">
        <w:rPr>
          <w:rFonts w:ascii="Arial" w:hAnsi="Arial" w:cs="Century Gothic"/>
          <w:b/>
          <w:bCs/>
          <w:i/>
          <w:iCs/>
          <w:color w:val="C00000"/>
        </w:rPr>
        <w:t>Or</w:t>
      </w:r>
      <w:r w:rsidRPr="003245F0">
        <w:rPr>
          <w:rFonts w:ascii="Arial" w:hAnsi="Arial" w:cs="Century Gothic"/>
          <w:b/>
          <w:bCs/>
          <w:i/>
          <w:iCs/>
          <w:color w:val="365F91" w:themeColor="accent1" w:themeShade="BF"/>
        </w:rPr>
        <w:t xml:space="preserve"> if the facility is a Title V facility, the annual reporting requirement may be satisfied with the submission of the fee emissions report, due April 15th of each year.</w:t>
      </w:r>
    </w:p>
    <w:p w:rsidR="00B15EC8" w:rsidRPr="00BB6A9E" w:rsidRDefault="00B15EC8" w:rsidP="004D2C96">
      <w:pPr>
        <w:pStyle w:val="Level4"/>
        <w:numPr>
          <w:ilvl w:val="3"/>
          <w:numId w:val="9"/>
        </w:numPr>
      </w:pPr>
      <w:r w:rsidRPr="00F377AA">
        <w:t>The permittee shall also submit annual reports that specify the total VOC emissions from this emissions unit for the previous calendar year.  The reports shall be submitted by April 15 of each year.  This reporting requirement may be satisfied by including and identifying the specific emission data for this emissions unit in the annual Fee Emission Report.</w:t>
      </w:r>
    </w:p>
    <w:p w:rsidR="000E376F" w:rsidRPr="000F5193" w:rsidRDefault="003245F0" w:rsidP="0008737D">
      <w:pPr>
        <w:tabs>
          <w:tab w:val="left" w:pos="-48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firstLine="0"/>
        <w:rPr>
          <w:rFonts w:ascii="Arial" w:hAnsi="Arial" w:cs="Century Gothic"/>
          <w:color w:val="000000"/>
        </w:rPr>
      </w:pPr>
      <w:r w:rsidRPr="00F377AA">
        <w:rPr>
          <w:rFonts w:ascii="Arial" w:hAnsi="Arial" w:cs="Century Gothic"/>
          <w:color w:val="000000"/>
          <w:sz w:val="16"/>
          <w:szCs w:val="16"/>
        </w:rPr>
        <w:t xml:space="preserve"> </w:t>
      </w:r>
      <w:r w:rsidR="00B15EC8" w:rsidRPr="00F377AA">
        <w:rPr>
          <w:rFonts w:ascii="Arial" w:hAnsi="Arial" w:cs="Century Gothic"/>
          <w:color w:val="000000"/>
          <w:sz w:val="16"/>
          <w:szCs w:val="16"/>
        </w:rPr>
        <w:t>(Current</w:t>
      </w:r>
      <w:r w:rsidR="00E51267">
        <w:rPr>
          <w:rFonts w:ascii="Arial" w:hAnsi="Arial" w:cs="Century Gothic"/>
          <w:color w:val="000000"/>
          <w:sz w:val="16"/>
          <w:szCs w:val="16"/>
        </w:rPr>
        <w:t>: 03</w:t>
      </w:r>
      <w:r w:rsidR="00BF515C">
        <w:rPr>
          <w:rFonts w:ascii="Arial" w:hAnsi="Arial" w:cs="Century Gothic"/>
          <w:color w:val="000000"/>
          <w:sz w:val="16"/>
          <w:szCs w:val="16"/>
        </w:rPr>
        <w:t>/09</w:t>
      </w:r>
      <w:r w:rsidR="00B15EC8" w:rsidRPr="00F377AA">
        <w:rPr>
          <w:rFonts w:ascii="Arial" w:hAnsi="Arial" w:cs="Century Gothic"/>
          <w:color w:val="000000"/>
          <w:sz w:val="16"/>
          <w:szCs w:val="16"/>
        </w:rPr>
        <w:t>)</w:t>
      </w:r>
    </w:p>
    <w:sectPr w:rsidR="000E376F" w:rsidRPr="000F5193" w:rsidSect="00BB6A9E">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9527C"/>
    <w:multiLevelType w:val="multilevel"/>
    <w:tmpl w:val="C8528C3C"/>
    <w:lvl w:ilvl="0">
      <w:start w:val="1"/>
      <w:numFmt w:val="upperLetter"/>
      <w:pStyle w:val="Level1"/>
      <w:lvlText w:val="%1."/>
      <w:lvlJc w:val="left"/>
      <w:pPr>
        <w:ind w:left="720" w:hanging="720"/>
      </w:pPr>
      <w:rPr>
        <w:rFonts w:hint="default"/>
      </w:rPr>
    </w:lvl>
    <w:lvl w:ilvl="1">
      <w:start w:val="1"/>
      <w:numFmt w:val="decimal"/>
      <w:pStyle w:val="Level2"/>
      <w:lvlText w:val="%2."/>
      <w:lvlJc w:val="left"/>
      <w:pPr>
        <w:ind w:left="720" w:hanging="720"/>
      </w:pPr>
      <w:rPr>
        <w:rFonts w:hint="default"/>
      </w:rPr>
    </w:lvl>
    <w:lvl w:ilvl="2">
      <w:start w:val="1"/>
      <w:numFmt w:val="lowerLetter"/>
      <w:pStyle w:val="Level3"/>
      <w:lvlText w:val="%3)"/>
      <w:lvlJc w:val="right"/>
      <w:pPr>
        <w:ind w:left="1440" w:hanging="720"/>
      </w:pPr>
      <w:rPr>
        <w:rFonts w:hint="default"/>
      </w:rPr>
    </w:lvl>
    <w:lvl w:ilvl="3">
      <w:start w:val="1"/>
      <w:numFmt w:val="decimal"/>
      <w:pStyle w:val="Level4"/>
      <w:lvlText w:val="(%4)"/>
      <w:lvlJc w:val="left"/>
      <w:pPr>
        <w:ind w:left="2160" w:hanging="720"/>
      </w:pPr>
      <w:rPr>
        <w:rFonts w:hint="default"/>
        <w:strike w:val="0"/>
      </w:rPr>
    </w:lvl>
    <w:lvl w:ilvl="4">
      <w:start w:val="1"/>
      <w:numFmt w:val="lowerLetter"/>
      <w:pStyle w:val="Level5"/>
      <w:lvlText w:val="%5."/>
      <w:lvlJc w:val="left"/>
      <w:pPr>
        <w:ind w:left="720" w:hanging="720"/>
      </w:pPr>
      <w:rPr>
        <w:rFonts w:hint="default"/>
      </w:rPr>
    </w:lvl>
    <w:lvl w:ilvl="5">
      <w:start w:val="1"/>
      <w:numFmt w:val="lowerRoman"/>
      <w:pStyle w:val="Level6"/>
      <w:lvlText w:val="%6."/>
      <w:lvlJc w:val="right"/>
      <w:pPr>
        <w:ind w:left="3600" w:hanging="720"/>
      </w:pPr>
      <w:rPr>
        <w:rFonts w:hint="default"/>
      </w:rPr>
    </w:lvl>
    <w:lvl w:ilvl="6">
      <w:start w:val="1"/>
      <w:numFmt w:val="lowerLetter"/>
      <w:pStyle w:val="Level7"/>
      <w:lvlText w:val="(%7)"/>
      <w:lvlJc w:val="left"/>
      <w:pPr>
        <w:ind w:left="4320" w:hanging="720"/>
      </w:pPr>
      <w:rPr>
        <w:rFonts w:hint="default"/>
      </w:rPr>
    </w:lvl>
    <w:lvl w:ilvl="7">
      <w:start w:val="1"/>
      <w:numFmt w:val="lowerRoman"/>
      <w:pStyle w:val="Level8"/>
      <w:lvlText w:val="(%8)"/>
      <w:lvlJc w:val="left"/>
      <w:pPr>
        <w:ind w:left="5040" w:hanging="720"/>
      </w:pPr>
      <w:rPr>
        <w:rFonts w:hint="default"/>
      </w:rPr>
    </w:lvl>
    <w:lvl w:ilvl="8">
      <w:start w:val="1"/>
      <w:numFmt w:val="decimal"/>
      <w:pStyle w:val="Level9"/>
      <w:lvlText w:val="%9)"/>
      <w:lvlJc w:val="right"/>
      <w:pPr>
        <w:ind w:left="5760" w:hanging="720"/>
      </w:pPr>
      <w:rPr>
        <w:rFonts w:hint="default"/>
      </w:r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0C1"/>
    <w:rsid w:val="00001E38"/>
    <w:rsid w:val="0005375B"/>
    <w:rsid w:val="00056AAA"/>
    <w:rsid w:val="0008737D"/>
    <w:rsid w:val="000967B6"/>
    <w:rsid w:val="000C124F"/>
    <w:rsid w:val="000E27FD"/>
    <w:rsid w:val="000E376F"/>
    <w:rsid w:val="000F5193"/>
    <w:rsid w:val="00101792"/>
    <w:rsid w:val="00106391"/>
    <w:rsid w:val="001110F1"/>
    <w:rsid w:val="001468FC"/>
    <w:rsid w:val="00173D6E"/>
    <w:rsid w:val="00181BCE"/>
    <w:rsid w:val="001954BE"/>
    <w:rsid w:val="001A4259"/>
    <w:rsid w:val="001C2C44"/>
    <w:rsid w:val="001E2CE1"/>
    <w:rsid w:val="001F06EB"/>
    <w:rsid w:val="001F1048"/>
    <w:rsid w:val="0020083A"/>
    <w:rsid w:val="00210E9E"/>
    <w:rsid w:val="002110C1"/>
    <w:rsid w:val="002243FA"/>
    <w:rsid w:val="00232C77"/>
    <w:rsid w:val="00243FE5"/>
    <w:rsid w:val="002B1095"/>
    <w:rsid w:val="002B34CC"/>
    <w:rsid w:val="002B7DB3"/>
    <w:rsid w:val="002F51DB"/>
    <w:rsid w:val="00303AFF"/>
    <w:rsid w:val="00303C0F"/>
    <w:rsid w:val="00321AD0"/>
    <w:rsid w:val="003245F0"/>
    <w:rsid w:val="003C60AA"/>
    <w:rsid w:val="003E1CDD"/>
    <w:rsid w:val="00416E21"/>
    <w:rsid w:val="00424D20"/>
    <w:rsid w:val="0047148C"/>
    <w:rsid w:val="004828C9"/>
    <w:rsid w:val="004A1723"/>
    <w:rsid w:val="004D2C96"/>
    <w:rsid w:val="004E3816"/>
    <w:rsid w:val="0051033A"/>
    <w:rsid w:val="00522B56"/>
    <w:rsid w:val="005411C1"/>
    <w:rsid w:val="00560DE7"/>
    <w:rsid w:val="0056713B"/>
    <w:rsid w:val="005A2F34"/>
    <w:rsid w:val="005A4A7E"/>
    <w:rsid w:val="00602B6D"/>
    <w:rsid w:val="006102DC"/>
    <w:rsid w:val="00613140"/>
    <w:rsid w:val="006349BD"/>
    <w:rsid w:val="00641EE3"/>
    <w:rsid w:val="006465C5"/>
    <w:rsid w:val="00647B18"/>
    <w:rsid w:val="0065379F"/>
    <w:rsid w:val="006618C9"/>
    <w:rsid w:val="006716E6"/>
    <w:rsid w:val="006F16F3"/>
    <w:rsid w:val="00703A69"/>
    <w:rsid w:val="00731281"/>
    <w:rsid w:val="00736F2D"/>
    <w:rsid w:val="007657AE"/>
    <w:rsid w:val="007720B6"/>
    <w:rsid w:val="00775D94"/>
    <w:rsid w:val="00787D73"/>
    <w:rsid w:val="007A6AB7"/>
    <w:rsid w:val="007F293F"/>
    <w:rsid w:val="007F6407"/>
    <w:rsid w:val="007F7CE5"/>
    <w:rsid w:val="008036A8"/>
    <w:rsid w:val="0080535F"/>
    <w:rsid w:val="00841131"/>
    <w:rsid w:val="00875EA7"/>
    <w:rsid w:val="0088575E"/>
    <w:rsid w:val="008E3BCB"/>
    <w:rsid w:val="008E6E9C"/>
    <w:rsid w:val="00973BFB"/>
    <w:rsid w:val="009860D3"/>
    <w:rsid w:val="009A3554"/>
    <w:rsid w:val="009D0812"/>
    <w:rsid w:val="009D4610"/>
    <w:rsid w:val="00A239B2"/>
    <w:rsid w:val="00A27906"/>
    <w:rsid w:val="00A362DA"/>
    <w:rsid w:val="00A6221B"/>
    <w:rsid w:val="00A65F32"/>
    <w:rsid w:val="00A72A50"/>
    <w:rsid w:val="00A76058"/>
    <w:rsid w:val="00A8722C"/>
    <w:rsid w:val="00AA1EF8"/>
    <w:rsid w:val="00AA6A7D"/>
    <w:rsid w:val="00AC3DE0"/>
    <w:rsid w:val="00AD55F1"/>
    <w:rsid w:val="00AE11F6"/>
    <w:rsid w:val="00AF22A2"/>
    <w:rsid w:val="00AF550A"/>
    <w:rsid w:val="00B011C1"/>
    <w:rsid w:val="00B15EC8"/>
    <w:rsid w:val="00B24261"/>
    <w:rsid w:val="00B4445D"/>
    <w:rsid w:val="00B611ED"/>
    <w:rsid w:val="00B700DC"/>
    <w:rsid w:val="00B93874"/>
    <w:rsid w:val="00B93BE9"/>
    <w:rsid w:val="00B97361"/>
    <w:rsid w:val="00BB01D1"/>
    <w:rsid w:val="00BB6A9E"/>
    <w:rsid w:val="00BF515C"/>
    <w:rsid w:val="00C45FF6"/>
    <w:rsid w:val="00C916B9"/>
    <w:rsid w:val="00CB1D8E"/>
    <w:rsid w:val="00CD2B49"/>
    <w:rsid w:val="00CF06F3"/>
    <w:rsid w:val="00D04978"/>
    <w:rsid w:val="00D31F12"/>
    <w:rsid w:val="00D46F2F"/>
    <w:rsid w:val="00D66950"/>
    <w:rsid w:val="00D831B4"/>
    <w:rsid w:val="00D87552"/>
    <w:rsid w:val="00D94F40"/>
    <w:rsid w:val="00DC29FA"/>
    <w:rsid w:val="00DD0659"/>
    <w:rsid w:val="00DF3C44"/>
    <w:rsid w:val="00E066C0"/>
    <w:rsid w:val="00E21475"/>
    <w:rsid w:val="00E51267"/>
    <w:rsid w:val="00E742D3"/>
    <w:rsid w:val="00EA74B1"/>
    <w:rsid w:val="00ED288B"/>
    <w:rsid w:val="00F03295"/>
    <w:rsid w:val="00F075C8"/>
    <w:rsid w:val="00F27597"/>
    <w:rsid w:val="00F36146"/>
    <w:rsid w:val="00F3614C"/>
    <w:rsid w:val="00F44131"/>
    <w:rsid w:val="00F47925"/>
    <w:rsid w:val="00F47E00"/>
    <w:rsid w:val="00F65157"/>
    <w:rsid w:val="00F70A87"/>
    <w:rsid w:val="00FC6E4E"/>
    <w:rsid w:val="00FD1CB2"/>
    <w:rsid w:val="00FE3DB4"/>
    <w:rsid w:val="00FF01C9"/>
    <w:rsid w:val="00FF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11BFF"/>
  <w15:docId w15:val="{BE411B6C-28FA-4F9F-98CA-B8641649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239B2"/>
    <w:pPr>
      <w:spacing w:after="220"/>
      <w:ind w:left="2160" w:hanging="72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link w:val="Level1Char"/>
    <w:qFormat/>
    <w:rsid w:val="00787D73"/>
    <w:pPr>
      <w:numPr>
        <w:numId w:val="4"/>
      </w:numPr>
    </w:pPr>
    <w:rPr>
      <w:rFonts w:ascii="Arial" w:hAnsi="Arial" w:cs="Arial"/>
    </w:rPr>
  </w:style>
  <w:style w:type="paragraph" w:customStyle="1" w:styleId="Level2">
    <w:name w:val="Level 2"/>
    <w:basedOn w:val="Normal"/>
    <w:link w:val="Level2Char"/>
    <w:qFormat/>
    <w:rsid w:val="00787D73"/>
    <w:pPr>
      <w:numPr>
        <w:ilvl w:val="1"/>
        <w:numId w:val="4"/>
      </w:numPr>
    </w:pPr>
    <w:rPr>
      <w:rFonts w:ascii="Arial" w:hAnsi="Arial" w:cs="Arial"/>
      <w:b/>
    </w:rPr>
  </w:style>
  <w:style w:type="character" w:customStyle="1" w:styleId="Level1Char">
    <w:name w:val="Level 1 Char"/>
    <w:basedOn w:val="DefaultParagraphFont"/>
    <w:link w:val="Level1"/>
    <w:rsid w:val="00787D73"/>
    <w:rPr>
      <w:rFonts w:ascii="Arial" w:hAnsi="Arial" w:cs="Arial"/>
      <w:sz w:val="22"/>
      <w:szCs w:val="22"/>
    </w:rPr>
  </w:style>
  <w:style w:type="paragraph" w:customStyle="1" w:styleId="Level3">
    <w:name w:val="Level 3"/>
    <w:basedOn w:val="Normal"/>
    <w:link w:val="Level3Char"/>
    <w:qFormat/>
    <w:rsid w:val="00787D73"/>
    <w:pPr>
      <w:numPr>
        <w:ilvl w:val="2"/>
        <w:numId w:val="4"/>
      </w:numPr>
    </w:pPr>
    <w:rPr>
      <w:rFonts w:ascii="Arial" w:hAnsi="Arial" w:cs="Arial"/>
    </w:rPr>
  </w:style>
  <w:style w:type="character" w:customStyle="1" w:styleId="Level2Char">
    <w:name w:val="Level 2 Char"/>
    <w:basedOn w:val="DefaultParagraphFont"/>
    <w:link w:val="Level2"/>
    <w:rsid w:val="00787D73"/>
    <w:rPr>
      <w:rFonts w:ascii="Arial" w:hAnsi="Arial" w:cs="Arial"/>
      <w:b/>
      <w:sz w:val="22"/>
      <w:szCs w:val="22"/>
    </w:rPr>
  </w:style>
  <w:style w:type="paragraph" w:customStyle="1" w:styleId="Level4">
    <w:name w:val="Level 4"/>
    <w:basedOn w:val="Normal"/>
    <w:link w:val="Level4Char"/>
    <w:qFormat/>
    <w:rsid w:val="00787D73"/>
    <w:pPr>
      <w:numPr>
        <w:ilvl w:val="3"/>
        <w:numId w:val="4"/>
      </w:numPr>
    </w:pPr>
    <w:rPr>
      <w:rFonts w:ascii="Arial" w:hAnsi="Arial" w:cs="Arial"/>
    </w:rPr>
  </w:style>
  <w:style w:type="character" w:customStyle="1" w:styleId="Level3Char">
    <w:name w:val="Level 3 Char"/>
    <w:basedOn w:val="DefaultParagraphFont"/>
    <w:link w:val="Level3"/>
    <w:rsid w:val="00787D73"/>
    <w:rPr>
      <w:rFonts w:ascii="Arial" w:hAnsi="Arial" w:cs="Arial"/>
      <w:sz w:val="22"/>
      <w:szCs w:val="22"/>
    </w:rPr>
  </w:style>
  <w:style w:type="paragraph" w:customStyle="1" w:styleId="Level5">
    <w:name w:val="Level 5"/>
    <w:basedOn w:val="Normal"/>
    <w:link w:val="Level5Char"/>
    <w:qFormat/>
    <w:rsid w:val="001A4259"/>
    <w:pPr>
      <w:numPr>
        <w:ilvl w:val="4"/>
        <w:numId w:val="4"/>
      </w:numPr>
      <w:ind w:left="2880"/>
    </w:pPr>
    <w:rPr>
      <w:rFonts w:ascii="Arial" w:hAnsi="Arial" w:cs="Arial"/>
    </w:rPr>
  </w:style>
  <w:style w:type="character" w:customStyle="1" w:styleId="Level4Char">
    <w:name w:val="Level 4 Char"/>
    <w:basedOn w:val="DefaultParagraphFont"/>
    <w:link w:val="Level4"/>
    <w:rsid w:val="00787D73"/>
    <w:rPr>
      <w:rFonts w:ascii="Arial" w:hAnsi="Arial" w:cs="Arial"/>
      <w:sz w:val="22"/>
      <w:szCs w:val="22"/>
    </w:rPr>
  </w:style>
  <w:style w:type="paragraph" w:customStyle="1" w:styleId="Level6">
    <w:name w:val="Level 6"/>
    <w:basedOn w:val="Normal"/>
    <w:link w:val="Level6Char"/>
    <w:qFormat/>
    <w:rsid w:val="00787D73"/>
    <w:pPr>
      <w:numPr>
        <w:ilvl w:val="5"/>
        <w:numId w:val="4"/>
      </w:numPr>
    </w:pPr>
    <w:rPr>
      <w:rFonts w:ascii="Arial" w:hAnsi="Arial" w:cs="Arial"/>
    </w:rPr>
  </w:style>
  <w:style w:type="character" w:customStyle="1" w:styleId="Level5Char">
    <w:name w:val="Level 5 Char"/>
    <w:basedOn w:val="DefaultParagraphFont"/>
    <w:link w:val="Level5"/>
    <w:rsid w:val="001A4259"/>
    <w:rPr>
      <w:rFonts w:ascii="Arial" w:hAnsi="Arial" w:cs="Arial"/>
      <w:sz w:val="22"/>
      <w:szCs w:val="22"/>
    </w:rPr>
  </w:style>
  <w:style w:type="paragraph" w:customStyle="1" w:styleId="Level7">
    <w:name w:val="Level 7"/>
    <w:basedOn w:val="Normal"/>
    <w:link w:val="Level7Char"/>
    <w:qFormat/>
    <w:rsid w:val="00787D73"/>
    <w:pPr>
      <w:numPr>
        <w:ilvl w:val="6"/>
        <w:numId w:val="4"/>
      </w:numPr>
    </w:pPr>
    <w:rPr>
      <w:rFonts w:ascii="Arial" w:hAnsi="Arial" w:cs="Arial"/>
    </w:rPr>
  </w:style>
  <w:style w:type="character" w:customStyle="1" w:styleId="Level6Char">
    <w:name w:val="Level 6 Char"/>
    <w:basedOn w:val="DefaultParagraphFont"/>
    <w:link w:val="Level6"/>
    <w:rsid w:val="00787D73"/>
    <w:rPr>
      <w:rFonts w:ascii="Arial" w:hAnsi="Arial" w:cs="Arial"/>
      <w:sz w:val="22"/>
      <w:szCs w:val="22"/>
    </w:rPr>
  </w:style>
  <w:style w:type="paragraph" w:customStyle="1" w:styleId="Level8">
    <w:name w:val="Level 8"/>
    <w:basedOn w:val="Normal"/>
    <w:link w:val="Level8Char"/>
    <w:qFormat/>
    <w:rsid w:val="00787D73"/>
    <w:pPr>
      <w:numPr>
        <w:ilvl w:val="7"/>
        <w:numId w:val="4"/>
      </w:numPr>
    </w:pPr>
    <w:rPr>
      <w:rFonts w:ascii="Arial" w:hAnsi="Arial" w:cs="Arial"/>
    </w:rPr>
  </w:style>
  <w:style w:type="character" w:customStyle="1" w:styleId="Level7Char">
    <w:name w:val="Level 7 Char"/>
    <w:basedOn w:val="DefaultParagraphFont"/>
    <w:link w:val="Level7"/>
    <w:rsid w:val="00787D73"/>
    <w:rPr>
      <w:rFonts w:ascii="Arial" w:hAnsi="Arial" w:cs="Arial"/>
      <w:sz w:val="22"/>
      <w:szCs w:val="22"/>
    </w:rPr>
  </w:style>
  <w:style w:type="paragraph" w:customStyle="1" w:styleId="Level9">
    <w:name w:val="Level 9"/>
    <w:basedOn w:val="Normal"/>
    <w:link w:val="Level9Char"/>
    <w:qFormat/>
    <w:rsid w:val="00787D73"/>
    <w:pPr>
      <w:numPr>
        <w:ilvl w:val="8"/>
        <w:numId w:val="4"/>
      </w:numPr>
    </w:pPr>
    <w:rPr>
      <w:rFonts w:ascii="Arial" w:hAnsi="Arial" w:cs="Arial"/>
    </w:rPr>
  </w:style>
  <w:style w:type="character" w:customStyle="1" w:styleId="Level8Char">
    <w:name w:val="Level 8 Char"/>
    <w:basedOn w:val="DefaultParagraphFont"/>
    <w:link w:val="Level8"/>
    <w:rsid w:val="00787D73"/>
    <w:rPr>
      <w:rFonts w:ascii="Arial" w:hAnsi="Arial" w:cs="Arial"/>
      <w:sz w:val="22"/>
      <w:szCs w:val="22"/>
    </w:rPr>
  </w:style>
  <w:style w:type="paragraph" w:customStyle="1" w:styleId="Level4Paragraph">
    <w:name w:val="Level 4 Paragraph"/>
    <w:basedOn w:val="Level1"/>
    <w:link w:val="Level4ParagraphChar"/>
    <w:qFormat/>
    <w:rsid w:val="00787D73"/>
    <w:pPr>
      <w:numPr>
        <w:numId w:val="0"/>
      </w:numPr>
      <w:ind w:left="2160"/>
    </w:pPr>
  </w:style>
  <w:style w:type="character" w:customStyle="1" w:styleId="Level9Char">
    <w:name w:val="Level 9 Char"/>
    <w:basedOn w:val="DefaultParagraphFont"/>
    <w:link w:val="Level9"/>
    <w:rsid w:val="00787D73"/>
    <w:rPr>
      <w:rFonts w:ascii="Arial" w:hAnsi="Arial" w:cs="Arial"/>
      <w:sz w:val="22"/>
      <w:szCs w:val="22"/>
    </w:rPr>
  </w:style>
  <w:style w:type="paragraph" w:customStyle="1" w:styleId="Level5Paragraph">
    <w:name w:val="Level 5 Paragraph"/>
    <w:basedOn w:val="Level1"/>
    <w:link w:val="Level5ParagraphChar"/>
    <w:qFormat/>
    <w:rsid w:val="00787D73"/>
    <w:pPr>
      <w:numPr>
        <w:numId w:val="0"/>
      </w:numPr>
      <w:ind w:left="2880"/>
    </w:pPr>
  </w:style>
  <w:style w:type="character" w:customStyle="1" w:styleId="Level4ParagraphChar">
    <w:name w:val="Level 4 Paragraph Char"/>
    <w:basedOn w:val="Level1Char"/>
    <w:link w:val="Level4Paragraph"/>
    <w:rsid w:val="00787D73"/>
    <w:rPr>
      <w:rFonts w:ascii="Arial" w:hAnsi="Arial" w:cs="Arial"/>
      <w:sz w:val="22"/>
      <w:szCs w:val="22"/>
    </w:rPr>
  </w:style>
  <w:style w:type="paragraph" w:customStyle="1" w:styleId="Level6Paragraph">
    <w:name w:val="Level 6 Paragraph"/>
    <w:basedOn w:val="Level1"/>
    <w:link w:val="Level6ParagraphChar"/>
    <w:qFormat/>
    <w:rsid w:val="00787D73"/>
    <w:pPr>
      <w:numPr>
        <w:numId w:val="0"/>
      </w:numPr>
      <w:ind w:left="3600"/>
    </w:pPr>
  </w:style>
  <w:style w:type="character" w:customStyle="1" w:styleId="Level5ParagraphChar">
    <w:name w:val="Level 5 Paragraph Char"/>
    <w:basedOn w:val="Level1Char"/>
    <w:link w:val="Level5Paragraph"/>
    <w:rsid w:val="00787D73"/>
    <w:rPr>
      <w:rFonts w:ascii="Arial" w:hAnsi="Arial" w:cs="Arial"/>
      <w:sz w:val="22"/>
      <w:szCs w:val="22"/>
    </w:rPr>
  </w:style>
  <w:style w:type="paragraph" w:customStyle="1" w:styleId="Level7Paragraph">
    <w:name w:val="Level 7 Paragraph"/>
    <w:basedOn w:val="Level1"/>
    <w:link w:val="Level7ParagraphChar"/>
    <w:qFormat/>
    <w:rsid w:val="00787D73"/>
    <w:pPr>
      <w:numPr>
        <w:numId w:val="0"/>
      </w:numPr>
      <w:ind w:left="4320"/>
    </w:pPr>
  </w:style>
  <w:style w:type="character" w:customStyle="1" w:styleId="Level6ParagraphChar">
    <w:name w:val="Level 6 Paragraph Char"/>
    <w:basedOn w:val="Level1Char"/>
    <w:link w:val="Level6Paragraph"/>
    <w:rsid w:val="00787D73"/>
    <w:rPr>
      <w:rFonts w:ascii="Arial" w:hAnsi="Arial" w:cs="Arial"/>
      <w:sz w:val="22"/>
      <w:szCs w:val="22"/>
    </w:rPr>
  </w:style>
  <w:style w:type="paragraph" w:customStyle="1" w:styleId="Level8Paragraph">
    <w:name w:val="Level 8 Paragraph"/>
    <w:basedOn w:val="Level1"/>
    <w:link w:val="Level8ParagraphChar"/>
    <w:qFormat/>
    <w:rsid w:val="00787D73"/>
    <w:pPr>
      <w:numPr>
        <w:numId w:val="0"/>
      </w:numPr>
      <w:ind w:left="5040"/>
    </w:pPr>
  </w:style>
  <w:style w:type="character" w:customStyle="1" w:styleId="Level7ParagraphChar">
    <w:name w:val="Level 7 Paragraph Char"/>
    <w:basedOn w:val="Level1Char"/>
    <w:link w:val="Level7Paragraph"/>
    <w:rsid w:val="00787D73"/>
    <w:rPr>
      <w:rFonts w:ascii="Arial" w:hAnsi="Arial" w:cs="Arial"/>
      <w:sz w:val="22"/>
      <w:szCs w:val="22"/>
    </w:rPr>
  </w:style>
  <w:style w:type="paragraph" w:customStyle="1" w:styleId="Level9Paragraph">
    <w:name w:val="Level 9 Paragraph"/>
    <w:basedOn w:val="Level1"/>
    <w:link w:val="Level9ParagraphChar"/>
    <w:qFormat/>
    <w:rsid w:val="00787D73"/>
    <w:pPr>
      <w:numPr>
        <w:numId w:val="0"/>
      </w:numPr>
      <w:ind w:left="5760"/>
    </w:pPr>
  </w:style>
  <w:style w:type="character" w:customStyle="1" w:styleId="Level8ParagraphChar">
    <w:name w:val="Level 8 Paragraph Char"/>
    <w:basedOn w:val="Level1Char"/>
    <w:link w:val="Level8Paragraph"/>
    <w:rsid w:val="00787D73"/>
    <w:rPr>
      <w:rFonts w:ascii="Arial" w:hAnsi="Arial" w:cs="Arial"/>
      <w:sz w:val="22"/>
      <w:szCs w:val="22"/>
    </w:rPr>
  </w:style>
  <w:style w:type="paragraph" w:customStyle="1" w:styleId="Level3Paragraph">
    <w:name w:val="Level 3 Paragraph"/>
    <w:basedOn w:val="Level1"/>
    <w:link w:val="Level3ParagraphChar"/>
    <w:qFormat/>
    <w:rsid w:val="00787D73"/>
    <w:pPr>
      <w:numPr>
        <w:numId w:val="0"/>
      </w:numPr>
      <w:ind w:left="1440"/>
    </w:pPr>
  </w:style>
  <w:style w:type="character" w:customStyle="1" w:styleId="Level9ParagraphChar">
    <w:name w:val="Level 9 Paragraph Char"/>
    <w:basedOn w:val="Level1Char"/>
    <w:link w:val="Level9Paragraph"/>
    <w:rsid w:val="00787D73"/>
    <w:rPr>
      <w:rFonts w:ascii="Arial" w:hAnsi="Arial" w:cs="Arial"/>
      <w:sz w:val="22"/>
      <w:szCs w:val="22"/>
    </w:rPr>
  </w:style>
  <w:style w:type="character" w:customStyle="1" w:styleId="Level3ParagraphChar">
    <w:name w:val="Level 3 Paragraph Char"/>
    <w:basedOn w:val="Level1Char"/>
    <w:link w:val="Level3Paragraph"/>
    <w:rsid w:val="00787D73"/>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Braun</dc:creator>
  <cp:keywords/>
  <dc:description/>
  <cp:lastModifiedBy>Rogers, Kerri</cp:lastModifiedBy>
  <cp:revision>41</cp:revision>
  <cp:lastPrinted>2009-03-03T13:36:00Z</cp:lastPrinted>
  <dcterms:created xsi:type="dcterms:W3CDTF">2009-03-03T17:41:00Z</dcterms:created>
  <dcterms:modified xsi:type="dcterms:W3CDTF">2016-06-06T16:07:00Z</dcterms:modified>
</cp:coreProperties>
</file>