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6567C7" w14:paraId="1575A16F" w14:textId="77777777" w:rsidTr="006E568B">
        <w:trPr>
          <w:tblHeader/>
        </w:trPr>
        <w:tc>
          <w:tcPr>
            <w:tcW w:w="9350" w:type="dxa"/>
            <w:gridSpan w:val="2"/>
            <w:shd w:val="clear" w:color="auto" w:fill="D9D9D9" w:themeFill="background1" w:themeFillShade="D9"/>
          </w:tcPr>
          <w:p w14:paraId="6B78D44E" w14:textId="319718E7" w:rsidR="006567C7" w:rsidRPr="00B05E83" w:rsidRDefault="002F3534" w:rsidP="006E568B">
            <w:pPr>
              <w:rPr>
                <w:b/>
                <w:bCs/>
              </w:rPr>
            </w:pPr>
            <w:r>
              <w:rPr>
                <w:b/>
                <w:bCs/>
              </w:rPr>
              <w:t>10</w:t>
            </w:r>
            <w:r w:rsidR="006567C7" w:rsidRPr="00B05E83">
              <w:rPr>
                <w:b/>
                <w:bCs/>
              </w:rPr>
              <w:t xml:space="preserve">.0   </w:t>
            </w:r>
            <w:r w:rsidR="006567C7">
              <w:rPr>
                <w:b/>
                <w:bCs/>
              </w:rPr>
              <w:t>Cyanide</w:t>
            </w:r>
            <w:r w:rsidR="006567C7" w:rsidRPr="00B05E83">
              <w:rPr>
                <w:b/>
                <w:bCs/>
              </w:rPr>
              <w:t xml:space="preserve"> Data Validation</w:t>
            </w:r>
          </w:p>
        </w:tc>
      </w:tr>
      <w:tr w:rsidR="006567C7" w14:paraId="225BB51C" w14:textId="77777777" w:rsidTr="006E568B">
        <w:trPr>
          <w:tblHeader/>
        </w:trPr>
        <w:tc>
          <w:tcPr>
            <w:tcW w:w="9350" w:type="dxa"/>
            <w:gridSpan w:val="2"/>
            <w:shd w:val="clear" w:color="auto" w:fill="D9D9D9" w:themeFill="background1" w:themeFillShade="D9"/>
          </w:tcPr>
          <w:p w14:paraId="5CBEE4C8" w14:textId="42B57E71" w:rsidR="006567C7" w:rsidRPr="00B05E83" w:rsidRDefault="002F3534" w:rsidP="006E568B">
            <w:pPr>
              <w:rPr>
                <w:b/>
                <w:bCs/>
              </w:rPr>
            </w:pPr>
            <w:r>
              <w:rPr>
                <w:b/>
                <w:bCs/>
              </w:rPr>
              <w:t>10</w:t>
            </w:r>
            <w:r w:rsidR="006567C7" w:rsidRPr="00B05E83">
              <w:rPr>
                <w:b/>
                <w:bCs/>
              </w:rPr>
              <w:t>.1</w:t>
            </w:r>
            <w:r w:rsidR="006567C7">
              <w:tab/>
            </w:r>
            <w:r w:rsidR="006567C7">
              <w:rPr>
                <w:b/>
                <w:bCs/>
              </w:rPr>
              <w:t>Cyanide</w:t>
            </w:r>
            <w:r w:rsidR="006567C7" w:rsidRPr="00B05E83">
              <w:rPr>
                <w:b/>
                <w:bCs/>
              </w:rPr>
              <w:t xml:space="preserve"> Data Review </w:t>
            </w:r>
            <w:r w:rsidR="006567C7">
              <w:rPr>
                <w:b/>
                <w:bCs/>
              </w:rPr>
              <w:t>–</w:t>
            </w:r>
            <w:r w:rsidR="006567C7" w:rsidRPr="00B05E83">
              <w:rPr>
                <w:b/>
                <w:bCs/>
              </w:rPr>
              <w:t xml:space="preserve"> </w:t>
            </w:r>
            <w:r w:rsidR="006567C7">
              <w:rPr>
                <w:b/>
                <w:bCs/>
              </w:rPr>
              <w:t xml:space="preserve">Blank </w:t>
            </w:r>
            <w:r w:rsidR="006567C7" w:rsidRPr="00B05E83">
              <w:rPr>
                <w:b/>
                <w:bCs/>
              </w:rPr>
              <w:t>Data</w:t>
            </w:r>
            <w:r w:rsidR="006567C7">
              <w:rPr>
                <w:b/>
                <w:bCs/>
              </w:rPr>
              <w:t xml:space="preserve"> Analysis</w:t>
            </w:r>
          </w:p>
        </w:tc>
      </w:tr>
      <w:tr w:rsidR="006567C7" w14:paraId="4DD8CB9F" w14:textId="77777777" w:rsidTr="006E568B">
        <w:tc>
          <w:tcPr>
            <w:tcW w:w="9350" w:type="dxa"/>
            <w:gridSpan w:val="2"/>
            <w:shd w:val="clear" w:color="auto" w:fill="D9D9D9" w:themeFill="background1" w:themeFillShade="D9"/>
          </w:tcPr>
          <w:p w14:paraId="2D19B245" w14:textId="06D2513D" w:rsidR="006567C7" w:rsidRPr="00B05E83" w:rsidRDefault="006567C7" w:rsidP="006E568B">
            <w:pPr>
              <w:rPr>
                <w:b/>
                <w:bCs/>
              </w:rPr>
            </w:pPr>
            <w:r w:rsidRPr="4829A4B2">
              <w:rPr>
                <w:b/>
                <w:bCs/>
              </w:rPr>
              <w:t xml:space="preserve">A method blank is used to assess contamination from the laboratory environment, equipment, and/or reagents, so a method blank </w:t>
            </w:r>
            <w:r w:rsidRPr="00C065E2">
              <w:rPr>
                <w:b/>
                <w:bCs/>
              </w:rPr>
              <w:t>must be carried throughout the entire sample preparation and analytical process</w:t>
            </w:r>
            <w:r w:rsidRPr="4829A4B2">
              <w:rPr>
                <w:b/>
                <w:bCs/>
              </w:rPr>
              <w:t xml:space="preserve"> for each batch of samples analyzed. This includes</w:t>
            </w:r>
            <w:r w:rsidRPr="00C065E2">
              <w:rPr>
                <w:b/>
                <w:bCs/>
              </w:rPr>
              <w:t xml:space="preserve"> exposure to all glassware, equipment, solvents, filtration, and reagents that are</w:t>
            </w:r>
            <w:r>
              <w:rPr>
                <w:b/>
                <w:bCs/>
              </w:rPr>
              <w:t xml:space="preserve"> </w:t>
            </w:r>
            <w:r w:rsidRPr="00C065E2">
              <w:rPr>
                <w:b/>
                <w:bCs/>
              </w:rPr>
              <w:t>used with field samples. Any free cyanide</w:t>
            </w:r>
            <w:r>
              <w:rPr>
                <w:b/>
                <w:bCs/>
              </w:rPr>
              <w:t xml:space="preserve"> </w:t>
            </w:r>
            <w:r w:rsidRPr="00C065E2">
              <w:rPr>
                <w:b/>
                <w:bCs/>
              </w:rPr>
              <w:t xml:space="preserve">measured in the method blank that exceeds the quantitation </w:t>
            </w:r>
            <w:r w:rsidRPr="4829A4B2">
              <w:rPr>
                <w:b/>
                <w:bCs/>
              </w:rPr>
              <w:t xml:space="preserve">limit </w:t>
            </w:r>
            <w:r w:rsidRPr="00C065E2">
              <w:rPr>
                <w:b/>
                <w:bCs/>
              </w:rPr>
              <w:t>indicates that contamination is present. The source of the contamination should be</w:t>
            </w:r>
            <w:r w:rsidRPr="4829A4B2">
              <w:rPr>
                <w:b/>
                <w:bCs/>
              </w:rPr>
              <w:t xml:space="preserve"> </w:t>
            </w:r>
            <w:r w:rsidRPr="00C065E2">
              <w:rPr>
                <w:b/>
                <w:bCs/>
              </w:rPr>
              <w:t xml:space="preserve">determined and corrected </w:t>
            </w:r>
            <w:r w:rsidRPr="4829A4B2">
              <w:rPr>
                <w:b/>
                <w:bCs/>
              </w:rPr>
              <w:t>before</w:t>
            </w:r>
            <w:r w:rsidRPr="00C065E2">
              <w:rPr>
                <w:b/>
                <w:bCs/>
              </w:rPr>
              <w:t xml:space="preserve"> performing any sample analysis. Any sample included</w:t>
            </w:r>
            <w:r>
              <w:rPr>
                <w:b/>
                <w:bCs/>
              </w:rPr>
              <w:t xml:space="preserve"> </w:t>
            </w:r>
            <w:r w:rsidRPr="00C065E2">
              <w:rPr>
                <w:b/>
                <w:bCs/>
              </w:rPr>
              <w:t>in an analysis batch that has an unacceptable method blank concentration should be</w:t>
            </w:r>
            <w:r>
              <w:rPr>
                <w:b/>
                <w:bCs/>
              </w:rPr>
              <w:t xml:space="preserve"> </w:t>
            </w:r>
            <w:r w:rsidRPr="00C065E2">
              <w:rPr>
                <w:b/>
                <w:bCs/>
              </w:rPr>
              <w:t>reanalyzed in a subsequent batch after the contamination problem is resolved.</w:t>
            </w:r>
            <w:r>
              <w:rPr>
                <w:b/>
                <w:bCs/>
              </w:rPr>
              <w:t xml:space="preserve"> </w:t>
            </w:r>
            <w:r w:rsidRPr="4829A4B2">
              <w:rPr>
                <w:b/>
                <w:bCs/>
              </w:rPr>
              <w:t>One</w:t>
            </w:r>
            <w:r w:rsidRPr="004241DE">
              <w:rPr>
                <w:b/>
                <w:bCs/>
              </w:rPr>
              <w:t xml:space="preserve"> reagent blank per analytical batch or one in every </w:t>
            </w:r>
            <w:r w:rsidRPr="4829A4B2">
              <w:rPr>
                <w:b/>
                <w:bCs/>
              </w:rPr>
              <w:t>20 samples should be used</w:t>
            </w:r>
            <w:r w:rsidRPr="004241DE">
              <w:rPr>
                <w:b/>
                <w:bCs/>
              </w:rPr>
              <w:t xml:space="preserve"> to determine if contamination or any memory effects are occurring.</w:t>
            </w:r>
          </w:p>
        </w:tc>
      </w:tr>
      <w:tr w:rsidR="006567C7" w14:paraId="3013ACF3" w14:textId="77777777" w:rsidTr="006E568B">
        <w:tc>
          <w:tcPr>
            <w:tcW w:w="4675" w:type="dxa"/>
            <w:shd w:val="clear" w:color="auto" w:fill="D9D9D9" w:themeFill="background1" w:themeFillShade="D9"/>
          </w:tcPr>
          <w:p w14:paraId="11086257" w14:textId="05A71397" w:rsidR="006567C7" w:rsidRDefault="002F3534" w:rsidP="006E568B">
            <w:r>
              <w:t>10</w:t>
            </w:r>
            <w:r w:rsidR="006567C7">
              <w:t>.1.1</w:t>
            </w:r>
            <w:r w:rsidR="006567C7">
              <w:tab/>
              <w:t>Is the method blank data present for each batch of approximately 20 samples (matrix and sample number dependent), including TCLP?</w:t>
            </w:r>
          </w:p>
          <w:p w14:paraId="09B15357" w14:textId="77777777" w:rsidR="006567C7" w:rsidRDefault="006567C7" w:rsidP="006E568B"/>
          <w:p w14:paraId="72D6D8C4" w14:textId="77777777" w:rsidR="006567C7" w:rsidRPr="00424612" w:rsidRDefault="006567C7" w:rsidP="006E568B">
            <w:pPr>
              <w:rPr>
                <w:i/>
                <w:iCs/>
              </w:rPr>
            </w:pPr>
            <w:r w:rsidRPr="00613F4E">
              <w:rPr>
                <w:i/>
                <w:iCs/>
              </w:rPr>
              <w:t xml:space="preserve">Action: If not present, request information from the </w:t>
            </w:r>
            <w:r>
              <w:rPr>
                <w:i/>
                <w:iCs/>
              </w:rPr>
              <w:t>applicable party</w:t>
            </w:r>
            <w:r w:rsidRPr="00613F4E">
              <w:rPr>
                <w:i/>
                <w:iCs/>
              </w:rPr>
              <w:t xml:space="preserve"> or laboratory.  If the required method blank(s) was not analyzed, sample results may be qualified as estimated (“J” for positive results and “UJ” for non-detected compounds) based upon the </w:t>
            </w:r>
            <w:r>
              <w:rPr>
                <w:i/>
                <w:iCs/>
              </w:rPr>
              <w:t>Data V</w:t>
            </w:r>
            <w:r w:rsidRPr="00613F4E">
              <w:rPr>
                <w:i/>
                <w:iCs/>
              </w:rPr>
              <w:t xml:space="preserve">alidator’s judgment.  </w:t>
            </w:r>
          </w:p>
        </w:tc>
        <w:tc>
          <w:tcPr>
            <w:tcW w:w="4675" w:type="dxa"/>
          </w:tcPr>
          <w:p w14:paraId="3746BED4" w14:textId="77777777" w:rsidR="006567C7" w:rsidRPr="00491DC0" w:rsidRDefault="006567C7" w:rsidP="006E568B">
            <w:pPr>
              <w:rPr>
                <w:b/>
                <w:bCs/>
              </w:rPr>
            </w:pPr>
            <w:r w:rsidRPr="003D7F79">
              <w:rPr>
                <w:b/>
              </w:rPr>
              <w:t>Indicate yes or no:</w:t>
            </w:r>
          </w:p>
        </w:tc>
      </w:tr>
      <w:tr w:rsidR="006567C7" w14:paraId="49F9CA5D" w14:textId="77777777" w:rsidTr="006E568B">
        <w:tc>
          <w:tcPr>
            <w:tcW w:w="4675" w:type="dxa"/>
            <w:shd w:val="clear" w:color="auto" w:fill="D9D9D9" w:themeFill="background1" w:themeFillShade="D9"/>
          </w:tcPr>
          <w:p w14:paraId="6D847284" w14:textId="7C3E56D4" w:rsidR="006567C7" w:rsidRDefault="00423CD9" w:rsidP="006E568B">
            <w:r>
              <w:t>10</w:t>
            </w:r>
            <w:r w:rsidR="006567C7">
              <w:t>.1.</w:t>
            </w:r>
            <w:r w:rsidR="00910E36">
              <w:t>2</w:t>
            </w:r>
            <w:r w:rsidR="006567C7">
              <w:tab/>
              <w:t xml:space="preserve">Is there an indication that samples in the batch associated with the blank were diluted? </w:t>
            </w:r>
          </w:p>
          <w:p w14:paraId="0D2A1397" w14:textId="77777777" w:rsidR="006567C7" w:rsidRDefault="006567C7" w:rsidP="006E568B"/>
          <w:p w14:paraId="223E2F0C" w14:textId="77777777" w:rsidR="006567C7" w:rsidRDefault="006567C7" w:rsidP="006E568B">
            <w:pPr>
              <w:rPr>
                <w:b/>
                <w:bCs/>
              </w:rPr>
            </w:pPr>
            <w:r w:rsidRPr="00356687">
              <w:rPr>
                <w:b/>
                <w:bCs/>
              </w:rPr>
              <w:t>Note: The dilution factor can be found in the data report (a dilution factor of 1 indicates no dilution).</w:t>
            </w:r>
          </w:p>
          <w:p w14:paraId="469F92C3" w14:textId="77777777" w:rsidR="006567C7" w:rsidRDefault="006567C7" w:rsidP="006E568B">
            <w:pPr>
              <w:rPr>
                <w:b/>
                <w:bCs/>
              </w:rPr>
            </w:pPr>
          </w:p>
          <w:p w14:paraId="72CE0D8A" w14:textId="77777777" w:rsidR="006567C7" w:rsidRPr="00AD7EF5" w:rsidRDefault="006567C7" w:rsidP="006E568B">
            <w:pPr>
              <w:rPr>
                <w:i/>
                <w:iCs/>
              </w:rPr>
            </w:pPr>
            <w:r w:rsidRPr="004D5289">
              <w:rPr>
                <w:i/>
                <w:iCs/>
              </w:rPr>
              <w:t>Acton: If yes, identify dilution factors.</w:t>
            </w:r>
          </w:p>
        </w:tc>
        <w:tc>
          <w:tcPr>
            <w:tcW w:w="4675" w:type="dxa"/>
          </w:tcPr>
          <w:p w14:paraId="65EA6B01" w14:textId="77777777" w:rsidR="006567C7" w:rsidRPr="003D7F79" w:rsidRDefault="006567C7" w:rsidP="006E568B">
            <w:pPr>
              <w:rPr>
                <w:b/>
              </w:rPr>
            </w:pPr>
            <w:r w:rsidRPr="003D7F79">
              <w:rPr>
                <w:b/>
              </w:rPr>
              <w:t>Indicate yes or no:</w:t>
            </w:r>
          </w:p>
          <w:p w14:paraId="6D17F993" w14:textId="77777777" w:rsidR="006567C7" w:rsidRDefault="006567C7" w:rsidP="006E568B"/>
          <w:p w14:paraId="4BCE720A" w14:textId="77777777" w:rsidR="006567C7" w:rsidRPr="00491DC0" w:rsidRDefault="006567C7" w:rsidP="006E568B">
            <w:pPr>
              <w:rPr>
                <w:b/>
                <w:bCs/>
              </w:rPr>
            </w:pPr>
            <w:r w:rsidRPr="003D7F79">
              <w:rPr>
                <w:b/>
              </w:rPr>
              <w:t>If yes, list the dilution factor(s):</w:t>
            </w:r>
          </w:p>
        </w:tc>
      </w:tr>
      <w:tr w:rsidR="006567C7" w14:paraId="6DEC4F07" w14:textId="77777777" w:rsidTr="006E568B">
        <w:tc>
          <w:tcPr>
            <w:tcW w:w="4675" w:type="dxa"/>
            <w:shd w:val="clear" w:color="auto" w:fill="D9D9D9" w:themeFill="background1" w:themeFillShade="D9"/>
          </w:tcPr>
          <w:p w14:paraId="0ED53EBC" w14:textId="19C76E5C" w:rsidR="006567C7" w:rsidRDefault="00423CD9" w:rsidP="006E568B">
            <w:r>
              <w:t>10</w:t>
            </w:r>
            <w:r w:rsidR="006567C7">
              <w:t>.1.</w:t>
            </w:r>
            <w:r w:rsidR="00910E36">
              <w:t>3</w:t>
            </w:r>
            <w:r w:rsidR="006567C7">
              <w:tab/>
            </w:r>
            <w:r w:rsidR="00EE0A6A">
              <w:t>Was</w:t>
            </w:r>
            <w:r w:rsidR="00AD023C">
              <w:t xml:space="preserve"> cyanide detected in</w:t>
            </w:r>
            <w:r w:rsidR="006567C7">
              <w:t xml:space="preserve"> any </w:t>
            </w:r>
            <w:r w:rsidR="00AD023C">
              <w:t>blanks</w:t>
            </w:r>
            <w:r w:rsidR="006567C7">
              <w:t xml:space="preserve">?  </w:t>
            </w:r>
            <w:r w:rsidR="008B6A42">
              <w:t>Was cyanide found in t</w:t>
            </w:r>
            <w:r w:rsidR="006567C7">
              <w:t>he samples</w:t>
            </w:r>
            <w:r w:rsidR="008B6A42">
              <w:t xml:space="preserve"> associated with the blank</w:t>
            </w:r>
            <w:r w:rsidR="006567C7">
              <w:t xml:space="preserve">?  </w:t>
            </w:r>
          </w:p>
          <w:p w14:paraId="25D469D2" w14:textId="77777777" w:rsidR="006567C7" w:rsidRDefault="006567C7" w:rsidP="006E568B"/>
          <w:p w14:paraId="60EC679E" w14:textId="77777777" w:rsidR="006567C7" w:rsidRPr="002061D2" w:rsidRDefault="006567C7" w:rsidP="006E568B">
            <w:pPr>
              <w:rPr>
                <w:b/>
                <w:bCs/>
              </w:rPr>
            </w:pPr>
            <w:r w:rsidRPr="002061D2">
              <w:rPr>
                <w:b/>
                <w:bCs/>
              </w:rPr>
              <w:t xml:space="preserve">Note: A list of samples associated with each of the contaminated blanks should be prepared.  </w:t>
            </w:r>
          </w:p>
          <w:p w14:paraId="684FF96E" w14:textId="77777777" w:rsidR="006567C7" w:rsidRDefault="006567C7" w:rsidP="006E568B"/>
          <w:p w14:paraId="5F20D36A" w14:textId="322B9ED1" w:rsidR="006567C7" w:rsidRPr="00AD7EF5" w:rsidRDefault="006567C7" w:rsidP="006E568B">
            <w:pPr>
              <w:rPr>
                <w:i/>
                <w:iCs/>
              </w:rPr>
            </w:pPr>
            <w:r w:rsidRPr="002061D2">
              <w:rPr>
                <w:i/>
                <w:iCs/>
              </w:rPr>
              <w:t xml:space="preserve">Action: </w:t>
            </w:r>
            <w:r>
              <w:rPr>
                <w:i/>
                <w:iCs/>
              </w:rPr>
              <w:t>If blank contamination is identified</w:t>
            </w:r>
            <w:r w:rsidRPr="00F95569">
              <w:rPr>
                <w:i/>
                <w:iCs/>
              </w:rPr>
              <w:t xml:space="preserve">, follow the directions in the Table </w:t>
            </w:r>
            <w:r w:rsidR="00423CD9">
              <w:rPr>
                <w:i/>
                <w:iCs/>
              </w:rPr>
              <w:t>10-1</w:t>
            </w:r>
            <w:r w:rsidRPr="00F95569">
              <w:rPr>
                <w:i/>
                <w:iCs/>
              </w:rPr>
              <w:t xml:space="preserve"> below for qualifying data based on blank results.</w:t>
            </w:r>
          </w:p>
        </w:tc>
        <w:tc>
          <w:tcPr>
            <w:tcW w:w="4675" w:type="dxa"/>
          </w:tcPr>
          <w:p w14:paraId="095B7D47" w14:textId="77777777" w:rsidR="006567C7" w:rsidRDefault="006567C7" w:rsidP="006E568B">
            <w:pPr>
              <w:rPr>
                <w:b/>
              </w:rPr>
            </w:pPr>
            <w:r>
              <w:rPr>
                <w:b/>
              </w:rPr>
              <w:t>Indicate yes or no:</w:t>
            </w:r>
          </w:p>
          <w:p w14:paraId="15E1B243" w14:textId="77777777" w:rsidR="006567C7" w:rsidRPr="006054C6" w:rsidRDefault="006567C7" w:rsidP="006E568B">
            <w:pPr>
              <w:rPr>
                <w:bCs/>
              </w:rPr>
            </w:pPr>
          </w:p>
          <w:p w14:paraId="0E8060ED" w14:textId="77777777" w:rsidR="006567C7" w:rsidRPr="006054C6" w:rsidRDefault="006567C7" w:rsidP="006E568B">
            <w:pPr>
              <w:rPr>
                <w:bCs/>
              </w:rPr>
            </w:pPr>
          </w:p>
          <w:p w14:paraId="6E131A7E" w14:textId="77777777" w:rsidR="006567C7" w:rsidRPr="00491DC0" w:rsidRDefault="006567C7" w:rsidP="006E568B">
            <w:pPr>
              <w:rPr>
                <w:b/>
                <w:bCs/>
              </w:rPr>
            </w:pPr>
            <w:r>
              <w:rPr>
                <w:b/>
              </w:rPr>
              <w:t xml:space="preserve">If yes, </w:t>
            </w:r>
            <w:r w:rsidRPr="004D5289">
              <w:rPr>
                <w:b/>
              </w:rPr>
              <w:t>the sample</w:t>
            </w:r>
            <w:r>
              <w:rPr>
                <w:b/>
              </w:rPr>
              <w:t xml:space="preserve"> IDs associated with the blank and summarize any actions taken</w:t>
            </w:r>
            <w:r w:rsidRPr="004D5289">
              <w:rPr>
                <w:b/>
              </w:rPr>
              <w:t>:</w:t>
            </w:r>
          </w:p>
        </w:tc>
      </w:tr>
    </w:tbl>
    <w:p w14:paraId="1DA0B81B" w14:textId="77777777" w:rsidR="006567C7" w:rsidRDefault="006567C7" w:rsidP="006567C7"/>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3510"/>
        <w:gridCol w:w="3600"/>
      </w:tblGrid>
      <w:tr w:rsidR="006567C7" w14:paraId="1C69A78B" w14:textId="77777777" w:rsidTr="007A2E2C">
        <w:trPr>
          <w:trHeight w:val="323"/>
        </w:trPr>
        <w:tc>
          <w:tcPr>
            <w:tcW w:w="9360" w:type="dxa"/>
            <w:gridSpan w:val="3"/>
            <w:shd w:val="clear" w:color="auto" w:fill="D9D9D9" w:themeFill="background1" w:themeFillShade="D9"/>
            <w:vAlign w:val="center"/>
          </w:tcPr>
          <w:p w14:paraId="2110CBDD" w14:textId="005F8B8B" w:rsidR="006567C7" w:rsidRPr="00CA7D43" w:rsidRDefault="00BD49EE" w:rsidP="006E568B">
            <w:pPr>
              <w:spacing w:after="0" w:line="240" w:lineRule="auto"/>
              <w:jc w:val="center"/>
              <w:rPr>
                <w:b/>
                <w:bCs/>
              </w:rPr>
            </w:pPr>
            <w:r>
              <w:rPr>
                <w:b/>
                <w:bCs/>
              </w:rPr>
              <w:t xml:space="preserve">Table </w:t>
            </w:r>
            <w:r w:rsidR="00423CD9">
              <w:rPr>
                <w:b/>
                <w:bCs/>
              </w:rPr>
              <w:t>10</w:t>
            </w:r>
            <w:r w:rsidR="00CD2918">
              <w:rPr>
                <w:b/>
                <w:bCs/>
              </w:rPr>
              <w:t>-1</w:t>
            </w:r>
            <w:r>
              <w:rPr>
                <w:b/>
                <w:bCs/>
              </w:rPr>
              <w:t xml:space="preserve">: </w:t>
            </w:r>
            <w:r w:rsidR="006567C7">
              <w:rPr>
                <w:b/>
                <w:bCs/>
              </w:rPr>
              <w:t>Blank</w:t>
            </w:r>
            <w:r w:rsidR="006567C7" w:rsidRPr="008C502C">
              <w:rPr>
                <w:b/>
                <w:bCs/>
              </w:rPr>
              <w:t xml:space="preserve"> Actions for </w:t>
            </w:r>
            <w:r w:rsidR="006567C7">
              <w:rPr>
                <w:b/>
                <w:bCs/>
              </w:rPr>
              <w:t>Cyanide</w:t>
            </w:r>
          </w:p>
        </w:tc>
      </w:tr>
      <w:tr w:rsidR="006567C7" w14:paraId="6CA1B312" w14:textId="77777777" w:rsidTr="00E25DD9">
        <w:trPr>
          <w:trHeight w:val="350"/>
        </w:trPr>
        <w:tc>
          <w:tcPr>
            <w:tcW w:w="2250" w:type="dxa"/>
            <w:shd w:val="clear" w:color="auto" w:fill="D9D9D9" w:themeFill="background1" w:themeFillShade="D9"/>
            <w:vAlign w:val="center"/>
          </w:tcPr>
          <w:p w14:paraId="1C4D3333" w14:textId="77777777" w:rsidR="006567C7" w:rsidRPr="00176A56" w:rsidRDefault="006567C7" w:rsidP="006E568B">
            <w:pPr>
              <w:spacing w:after="0" w:line="240" w:lineRule="auto"/>
              <w:jc w:val="center"/>
              <w:rPr>
                <w:b/>
                <w:bCs/>
              </w:rPr>
            </w:pPr>
            <w:r w:rsidRPr="00CA7D43">
              <w:rPr>
                <w:b/>
                <w:bCs/>
              </w:rPr>
              <w:t>Blank Result</w:t>
            </w:r>
          </w:p>
        </w:tc>
        <w:tc>
          <w:tcPr>
            <w:tcW w:w="3510" w:type="dxa"/>
            <w:shd w:val="clear" w:color="auto" w:fill="D9D9D9" w:themeFill="background1" w:themeFillShade="D9"/>
            <w:vAlign w:val="center"/>
          </w:tcPr>
          <w:p w14:paraId="58B1EBBD" w14:textId="77777777" w:rsidR="006567C7" w:rsidRPr="00176A56" w:rsidRDefault="006567C7" w:rsidP="006E568B">
            <w:pPr>
              <w:spacing w:after="0" w:line="240" w:lineRule="auto"/>
              <w:jc w:val="center"/>
              <w:rPr>
                <w:b/>
                <w:bCs/>
              </w:rPr>
            </w:pPr>
            <w:r w:rsidRPr="00CA7D43">
              <w:rPr>
                <w:b/>
                <w:bCs/>
              </w:rPr>
              <w:t>Sample Result</w:t>
            </w:r>
          </w:p>
        </w:tc>
        <w:tc>
          <w:tcPr>
            <w:tcW w:w="3600" w:type="dxa"/>
            <w:shd w:val="clear" w:color="auto" w:fill="D9D9D9" w:themeFill="background1" w:themeFillShade="D9"/>
            <w:vAlign w:val="center"/>
          </w:tcPr>
          <w:p w14:paraId="3CADA50D" w14:textId="77777777" w:rsidR="006567C7" w:rsidRPr="00176A56" w:rsidRDefault="006567C7" w:rsidP="006E568B">
            <w:pPr>
              <w:spacing w:after="0" w:line="240" w:lineRule="auto"/>
              <w:jc w:val="center"/>
              <w:rPr>
                <w:b/>
                <w:bCs/>
              </w:rPr>
            </w:pPr>
            <w:r w:rsidRPr="00CA7D43">
              <w:rPr>
                <w:b/>
                <w:bCs/>
              </w:rPr>
              <w:t>Action</w:t>
            </w:r>
          </w:p>
        </w:tc>
      </w:tr>
      <w:tr w:rsidR="006567C7" w14:paraId="0CDFFC91" w14:textId="77777777" w:rsidTr="006E568B">
        <w:trPr>
          <w:trHeight w:val="260"/>
        </w:trPr>
        <w:tc>
          <w:tcPr>
            <w:tcW w:w="2250" w:type="dxa"/>
            <w:vMerge w:val="restart"/>
            <w:vAlign w:val="center"/>
          </w:tcPr>
          <w:p w14:paraId="125FA118" w14:textId="77777777" w:rsidR="006567C7" w:rsidRDefault="006567C7" w:rsidP="006E568B">
            <w:pPr>
              <w:spacing w:after="0" w:line="240" w:lineRule="auto"/>
              <w:jc w:val="center"/>
            </w:pPr>
            <w:r w:rsidRPr="00AB6DFF">
              <w:t>Detect ≤ QL</w:t>
            </w:r>
          </w:p>
          <w:p w14:paraId="79B3CA64" w14:textId="77777777" w:rsidR="006567C7" w:rsidRPr="00AB6DFF" w:rsidRDefault="006567C7" w:rsidP="006E568B">
            <w:pPr>
              <w:spacing w:after="0" w:line="240" w:lineRule="auto"/>
              <w:ind w:firstLine="720"/>
              <w:jc w:val="center"/>
            </w:pPr>
          </w:p>
        </w:tc>
        <w:tc>
          <w:tcPr>
            <w:tcW w:w="3510" w:type="dxa"/>
          </w:tcPr>
          <w:p w14:paraId="016852C5" w14:textId="77777777" w:rsidR="006567C7" w:rsidRDefault="006567C7" w:rsidP="006E568B">
            <w:pPr>
              <w:spacing w:after="0" w:line="240" w:lineRule="auto"/>
              <w:jc w:val="center"/>
            </w:pPr>
            <w:r w:rsidRPr="004F0308">
              <w:t>Non-detect</w:t>
            </w:r>
          </w:p>
        </w:tc>
        <w:tc>
          <w:tcPr>
            <w:tcW w:w="3600" w:type="dxa"/>
          </w:tcPr>
          <w:p w14:paraId="1A3C0D89" w14:textId="77777777" w:rsidR="006567C7" w:rsidRDefault="006567C7" w:rsidP="006E568B">
            <w:pPr>
              <w:spacing w:after="0" w:line="240" w:lineRule="auto"/>
              <w:jc w:val="center"/>
            </w:pPr>
            <w:r w:rsidRPr="00AA5DEB">
              <w:t>No qualification</w:t>
            </w:r>
          </w:p>
        </w:tc>
      </w:tr>
      <w:tr w:rsidR="006567C7" w14:paraId="67CF8836" w14:textId="77777777" w:rsidTr="006E568B">
        <w:trPr>
          <w:trHeight w:val="332"/>
        </w:trPr>
        <w:tc>
          <w:tcPr>
            <w:tcW w:w="2250" w:type="dxa"/>
            <w:vMerge/>
          </w:tcPr>
          <w:p w14:paraId="07E903B5" w14:textId="77777777" w:rsidR="006567C7" w:rsidRPr="00D3155C" w:rsidRDefault="006567C7" w:rsidP="00CE4C63">
            <w:pPr>
              <w:spacing w:after="0" w:line="240" w:lineRule="auto"/>
            </w:pPr>
          </w:p>
        </w:tc>
        <w:tc>
          <w:tcPr>
            <w:tcW w:w="3510" w:type="dxa"/>
          </w:tcPr>
          <w:p w14:paraId="113FFB5B" w14:textId="77777777" w:rsidR="006567C7" w:rsidRDefault="006567C7" w:rsidP="00CE4C63">
            <w:pPr>
              <w:spacing w:after="0" w:line="240" w:lineRule="auto"/>
              <w:jc w:val="center"/>
            </w:pPr>
            <w:r w:rsidRPr="00FA0965">
              <w:t>Detect ≤ QL</w:t>
            </w:r>
          </w:p>
        </w:tc>
        <w:tc>
          <w:tcPr>
            <w:tcW w:w="3600" w:type="dxa"/>
          </w:tcPr>
          <w:p w14:paraId="5E9A7D8E" w14:textId="77777777" w:rsidR="006567C7" w:rsidRDefault="006567C7" w:rsidP="00CE4C63">
            <w:pPr>
              <w:spacing w:after="0" w:line="240" w:lineRule="auto"/>
              <w:jc w:val="center"/>
            </w:pPr>
            <w:r w:rsidRPr="005A4738">
              <w:t>Report at QL and qualify as U</w:t>
            </w:r>
          </w:p>
        </w:tc>
      </w:tr>
      <w:tr w:rsidR="006567C7" w14:paraId="18673334" w14:textId="77777777" w:rsidTr="006E568B">
        <w:trPr>
          <w:trHeight w:val="350"/>
        </w:trPr>
        <w:tc>
          <w:tcPr>
            <w:tcW w:w="2250" w:type="dxa"/>
            <w:vMerge/>
          </w:tcPr>
          <w:p w14:paraId="1FA97D0D" w14:textId="77777777" w:rsidR="006567C7" w:rsidRPr="00D3155C" w:rsidRDefault="006567C7" w:rsidP="00CE4C63">
            <w:pPr>
              <w:spacing w:after="0" w:line="240" w:lineRule="auto"/>
            </w:pPr>
          </w:p>
        </w:tc>
        <w:tc>
          <w:tcPr>
            <w:tcW w:w="3510" w:type="dxa"/>
          </w:tcPr>
          <w:p w14:paraId="442F11BF" w14:textId="77777777" w:rsidR="006567C7" w:rsidRDefault="006567C7" w:rsidP="00CE4C63">
            <w:pPr>
              <w:spacing w:after="0" w:line="240" w:lineRule="auto"/>
              <w:jc w:val="center"/>
            </w:pPr>
            <w:r w:rsidRPr="002B333D">
              <w:t>&gt; QL</w:t>
            </w:r>
          </w:p>
        </w:tc>
        <w:tc>
          <w:tcPr>
            <w:tcW w:w="3600" w:type="dxa"/>
          </w:tcPr>
          <w:p w14:paraId="5CC8A4CD" w14:textId="77777777" w:rsidR="006567C7" w:rsidRDefault="006567C7" w:rsidP="00CE4C63">
            <w:pPr>
              <w:spacing w:after="0" w:line="240" w:lineRule="auto"/>
              <w:jc w:val="center"/>
            </w:pPr>
            <w:r>
              <w:t>J+ or no qualification</w:t>
            </w:r>
          </w:p>
        </w:tc>
      </w:tr>
      <w:tr w:rsidR="006567C7" w14:paraId="093BA4C7" w14:textId="77777777" w:rsidTr="006E568B">
        <w:trPr>
          <w:trHeight w:val="332"/>
        </w:trPr>
        <w:tc>
          <w:tcPr>
            <w:tcW w:w="2250" w:type="dxa"/>
            <w:vMerge w:val="restart"/>
            <w:vAlign w:val="center"/>
          </w:tcPr>
          <w:p w14:paraId="2A461315" w14:textId="77777777" w:rsidR="006567C7" w:rsidRPr="00D3155C" w:rsidRDefault="006567C7" w:rsidP="006E568B">
            <w:pPr>
              <w:spacing w:after="0" w:line="240" w:lineRule="auto"/>
              <w:jc w:val="center"/>
            </w:pPr>
            <w:r w:rsidRPr="006206A8">
              <w:t>&gt; QL</w:t>
            </w:r>
          </w:p>
        </w:tc>
        <w:tc>
          <w:tcPr>
            <w:tcW w:w="3510" w:type="dxa"/>
          </w:tcPr>
          <w:p w14:paraId="5D56D8FB" w14:textId="77777777" w:rsidR="006567C7" w:rsidRDefault="006567C7" w:rsidP="006E568B">
            <w:pPr>
              <w:spacing w:after="0" w:line="240" w:lineRule="auto"/>
              <w:jc w:val="center"/>
            </w:pPr>
            <w:r w:rsidRPr="00C1573C">
              <w:t>Non-detect</w:t>
            </w:r>
          </w:p>
        </w:tc>
        <w:tc>
          <w:tcPr>
            <w:tcW w:w="3600" w:type="dxa"/>
          </w:tcPr>
          <w:p w14:paraId="67CEF28B" w14:textId="77777777" w:rsidR="006567C7" w:rsidRDefault="006567C7" w:rsidP="006E568B">
            <w:pPr>
              <w:spacing w:after="0" w:line="240" w:lineRule="auto"/>
              <w:jc w:val="center"/>
            </w:pPr>
            <w:r w:rsidRPr="009A6C3C">
              <w:t>No qualification</w:t>
            </w:r>
          </w:p>
        </w:tc>
      </w:tr>
      <w:tr w:rsidR="006567C7" w14:paraId="3651EE50" w14:textId="77777777" w:rsidTr="006E568B">
        <w:trPr>
          <w:trHeight w:val="350"/>
        </w:trPr>
        <w:tc>
          <w:tcPr>
            <w:tcW w:w="2250" w:type="dxa"/>
            <w:vMerge/>
            <w:vAlign w:val="center"/>
          </w:tcPr>
          <w:p w14:paraId="502D1772" w14:textId="77777777" w:rsidR="006567C7" w:rsidRPr="006206A8" w:rsidRDefault="006567C7" w:rsidP="00CE4C63">
            <w:pPr>
              <w:spacing w:after="0" w:line="240" w:lineRule="auto"/>
              <w:jc w:val="center"/>
            </w:pPr>
          </w:p>
        </w:tc>
        <w:tc>
          <w:tcPr>
            <w:tcW w:w="3510" w:type="dxa"/>
          </w:tcPr>
          <w:p w14:paraId="6CE9503F" w14:textId="77777777" w:rsidR="006567C7" w:rsidRDefault="006567C7" w:rsidP="006E568B">
            <w:pPr>
              <w:spacing w:after="0" w:line="240" w:lineRule="auto"/>
              <w:jc w:val="center"/>
            </w:pPr>
            <w:r w:rsidRPr="00374389">
              <w:t>Detect ≤ QL</w:t>
            </w:r>
          </w:p>
        </w:tc>
        <w:tc>
          <w:tcPr>
            <w:tcW w:w="3600" w:type="dxa"/>
          </w:tcPr>
          <w:p w14:paraId="4DB866F0" w14:textId="77777777" w:rsidR="006567C7" w:rsidRDefault="006567C7" w:rsidP="006E568B">
            <w:pPr>
              <w:spacing w:after="0" w:line="240" w:lineRule="auto"/>
              <w:jc w:val="center"/>
            </w:pPr>
            <w:r w:rsidRPr="00964B73">
              <w:t>Report at QL and qualify as U</w:t>
            </w:r>
          </w:p>
        </w:tc>
      </w:tr>
      <w:tr w:rsidR="006567C7" w14:paraId="3E72E213" w14:textId="77777777" w:rsidTr="006E568B">
        <w:trPr>
          <w:trHeight w:val="890"/>
        </w:trPr>
        <w:tc>
          <w:tcPr>
            <w:tcW w:w="2250" w:type="dxa"/>
            <w:vMerge/>
            <w:vAlign w:val="center"/>
          </w:tcPr>
          <w:p w14:paraId="003046D6" w14:textId="77777777" w:rsidR="006567C7" w:rsidRPr="006206A8" w:rsidRDefault="006567C7" w:rsidP="00CE4C63">
            <w:pPr>
              <w:spacing w:after="0" w:line="240" w:lineRule="auto"/>
              <w:jc w:val="center"/>
            </w:pPr>
          </w:p>
        </w:tc>
        <w:tc>
          <w:tcPr>
            <w:tcW w:w="3510" w:type="dxa"/>
          </w:tcPr>
          <w:p w14:paraId="571A3610" w14:textId="77777777" w:rsidR="006567C7" w:rsidRDefault="006567C7" w:rsidP="006E568B">
            <w:pPr>
              <w:spacing w:after="0" w:line="240" w:lineRule="auto"/>
              <w:jc w:val="center"/>
            </w:pPr>
            <w:r w:rsidRPr="00E40E38">
              <w:t>&gt; QL but &lt; 10x the Blank Result</w:t>
            </w:r>
          </w:p>
        </w:tc>
        <w:tc>
          <w:tcPr>
            <w:tcW w:w="3600" w:type="dxa"/>
          </w:tcPr>
          <w:p w14:paraId="2398F81B" w14:textId="77777777" w:rsidR="006567C7" w:rsidRDefault="006567C7" w:rsidP="006E568B">
            <w:pPr>
              <w:spacing w:after="0" w:line="240" w:lineRule="auto"/>
              <w:jc w:val="center"/>
            </w:pPr>
            <w:r w:rsidRPr="009A37A9">
              <w:t>Report at Blank Result and use professional judgment to qualify results as J+ or R</w:t>
            </w:r>
          </w:p>
        </w:tc>
      </w:tr>
      <w:tr w:rsidR="006567C7" w14:paraId="70CD956E" w14:textId="77777777" w:rsidTr="006E568B">
        <w:trPr>
          <w:trHeight w:val="287"/>
        </w:trPr>
        <w:tc>
          <w:tcPr>
            <w:tcW w:w="2250" w:type="dxa"/>
            <w:vMerge/>
            <w:vAlign w:val="center"/>
          </w:tcPr>
          <w:p w14:paraId="5857CA91" w14:textId="77777777" w:rsidR="006567C7" w:rsidRPr="006206A8" w:rsidRDefault="006567C7" w:rsidP="00CE4C63">
            <w:pPr>
              <w:spacing w:after="0" w:line="240" w:lineRule="auto"/>
              <w:jc w:val="center"/>
            </w:pPr>
          </w:p>
        </w:tc>
        <w:tc>
          <w:tcPr>
            <w:tcW w:w="3510" w:type="dxa"/>
          </w:tcPr>
          <w:p w14:paraId="3B030A72" w14:textId="77777777" w:rsidR="006567C7" w:rsidRDefault="006567C7" w:rsidP="006E568B">
            <w:pPr>
              <w:spacing w:after="0" w:line="240" w:lineRule="auto"/>
              <w:jc w:val="center"/>
            </w:pPr>
            <w:r w:rsidRPr="000F7454">
              <w:t>≥ 10x the Blank Result</w:t>
            </w:r>
          </w:p>
        </w:tc>
        <w:tc>
          <w:tcPr>
            <w:tcW w:w="3600" w:type="dxa"/>
          </w:tcPr>
          <w:p w14:paraId="7EB49539" w14:textId="77777777" w:rsidR="006567C7" w:rsidRDefault="006567C7" w:rsidP="006E568B">
            <w:pPr>
              <w:spacing w:after="0" w:line="240" w:lineRule="auto"/>
              <w:jc w:val="center"/>
            </w:pPr>
            <w:r w:rsidRPr="00386F60">
              <w:t>No qualification</w:t>
            </w:r>
          </w:p>
        </w:tc>
      </w:tr>
    </w:tbl>
    <w:p w14:paraId="6B4BAD5C" w14:textId="6930BB7E" w:rsidR="006567C7" w:rsidRDefault="006567C7" w:rsidP="006567C7"/>
    <w:tbl>
      <w:tblPr>
        <w:tblStyle w:val="TableGrid"/>
        <w:tblW w:w="0" w:type="auto"/>
        <w:tblLook w:val="04A0" w:firstRow="1" w:lastRow="0" w:firstColumn="1" w:lastColumn="0" w:noHBand="0" w:noVBand="1"/>
      </w:tblPr>
      <w:tblGrid>
        <w:gridCol w:w="4675"/>
        <w:gridCol w:w="4675"/>
      </w:tblGrid>
      <w:tr w:rsidR="005909EF" w14:paraId="0F0556BF" w14:textId="77777777" w:rsidTr="1FECFCEC">
        <w:tc>
          <w:tcPr>
            <w:tcW w:w="9350" w:type="dxa"/>
            <w:gridSpan w:val="2"/>
            <w:shd w:val="clear" w:color="auto" w:fill="D9D9D9" w:themeFill="background1" w:themeFillShade="D9"/>
          </w:tcPr>
          <w:p w14:paraId="2F48983E" w14:textId="3C83A3C5" w:rsidR="005909EF" w:rsidRPr="00B939B2" w:rsidRDefault="005909EF" w:rsidP="00884CA6">
            <w:pPr>
              <w:rPr>
                <w:b/>
                <w:bCs/>
              </w:rPr>
            </w:pPr>
            <w:r>
              <w:rPr>
                <w:b/>
                <w:bCs/>
              </w:rPr>
              <w:t>10</w:t>
            </w:r>
            <w:r w:rsidRPr="00B939B2">
              <w:rPr>
                <w:b/>
                <w:bCs/>
              </w:rPr>
              <w:t>.</w:t>
            </w:r>
            <w:r>
              <w:rPr>
                <w:b/>
                <w:bCs/>
              </w:rPr>
              <w:t>2</w:t>
            </w:r>
            <w:r w:rsidRPr="00B939B2">
              <w:rPr>
                <w:b/>
                <w:bCs/>
              </w:rPr>
              <w:t xml:space="preserve"> Cyanide Data Review - Duplicates</w:t>
            </w:r>
          </w:p>
        </w:tc>
      </w:tr>
      <w:tr w:rsidR="005909EF" w14:paraId="01FCB519" w14:textId="77777777" w:rsidTr="1FECFCEC">
        <w:tc>
          <w:tcPr>
            <w:tcW w:w="9350" w:type="dxa"/>
            <w:gridSpan w:val="2"/>
            <w:shd w:val="clear" w:color="auto" w:fill="D9D9D9" w:themeFill="background1" w:themeFillShade="D9"/>
          </w:tcPr>
          <w:p w14:paraId="5ADD9728" w14:textId="77777777" w:rsidR="005909EF" w:rsidRPr="00B939B2" w:rsidRDefault="005909EF" w:rsidP="00884CA6">
            <w:pPr>
              <w:rPr>
                <w:b/>
                <w:bCs/>
              </w:rPr>
            </w:pPr>
            <w:r>
              <w:rPr>
                <w:b/>
                <w:bCs/>
              </w:rPr>
              <w:t>D</w:t>
            </w:r>
            <w:r w:rsidRPr="00286513">
              <w:rPr>
                <w:b/>
                <w:bCs/>
              </w:rPr>
              <w:t>uplicate sample</w:t>
            </w:r>
            <w:r>
              <w:rPr>
                <w:b/>
                <w:bCs/>
              </w:rPr>
              <w:t>s</w:t>
            </w:r>
            <w:r w:rsidRPr="00286513">
              <w:rPr>
                <w:b/>
                <w:bCs/>
              </w:rPr>
              <w:t xml:space="preserve"> </w:t>
            </w:r>
            <w:r>
              <w:rPr>
                <w:b/>
                <w:bCs/>
              </w:rPr>
              <w:t>are used</w:t>
            </w:r>
            <w:r w:rsidRPr="00286513">
              <w:rPr>
                <w:b/>
                <w:bCs/>
              </w:rPr>
              <w:t xml:space="preserve"> to demonstrate acceptable method precision by the laboratory at the time of analysis.</w:t>
            </w:r>
            <w:r>
              <w:rPr>
                <w:b/>
                <w:bCs/>
              </w:rPr>
              <w:t xml:space="preserve"> </w:t>
            </w:r>
            <w:r w:rsidRPr="00852BBC">
              <w:rPr>
                <w:b/>
                <w:bCs/>
              </w:rPr>
              <w:t xml:space="preserve">Field samples should be used for duplicate </w:t>
            </w:r>
            <w:r>
              <w:rPr>
                <w:b/>
                <w:bCs/>
              </w:rPr>
              <w:t xml:space="preserve">sample </w:t>
            </w:r>
            <w:r w:rsidRPr="00852BBC">
              <w:rPr>
                <w:b/>
                <w:bCs/>
              </w:rPr>
              <w:t>analysis.</w:t>
            </w:r>
            <w:r>
              <w:rPr>
                <w:b/>
                <w:bCs/>
              </w:rPr>
              <w:t xml:space="preserve"> </w:t>
            </w:r>
            <w:r w:rsidRPr="00C2476A">
              <w:rPr>
                <w:b/>
                <w:bCs/>
              </w:rPr>
              <w:t xml:space="preserve">At least one duplicate sample should be prepared and analyzed from each </w:t>
            </w:r>
            <w:r>
              <w:rPr>
                <w:b/>
                <w:bCs/>
              </w:rPr>
              <w:t>batch</w:t>
            </w:r>
            <w:r w:rsidRPr="00C2476A">
              <w:rPr>
                <w:b/>
                <w:bCs/>
              </w:rPr>
              <w:t xml:space="preserve"> of samples of a similar matrix type (</w:t>
            </w:r>
            <w:r w:rsidRPr="00062581">
              <w:rPr>
                <w:b/>
                <w:bCs/>
                <w:i/>
                <w:iCs/>
              </w:rPr>
              <w:t>e.g.</w:t>
            </w:r>
            <w:r w:rsidRPr="00C2476A">
              <w:rPr>
                <w:b/>
                <w:bCs/>
              </w:rPr>
              <w:t>, aqueous/water or soil/sediment/waste).</w:t>
            </w:r>
          </w:p>
        </w:tc>
      </w:tr>
      <w:tr w:rsidR="005909EF" w14:paraId="6367401F" w14:textId="77777777" w:rsidTr="1FECFCEC">
        <w:tc>
          <w:tcPr>
            <w:tcW w:w="4675" w:type="dxa"/>
            <w:shd w:val="clear" w:color="auto" w:fill="D9D9D9" w:themeFill="background1" w:themeFillShade="D9"/>
          </w:tcPr>
          <w:p w14:paraId="56BC3235" w14:textId="13CB5FC4" w:rsidR="005909EF" w:rsidRDefault="005909EF" w:rsidP="00884CA6">
            <w:r>
              <w:t>10.2.1</w:t>
            </w:r>
            <w:r>
              <w:tab/>
            </w:r>
            <w:r w:rsidRPr="006F1814">
              <w:t>Did the project SAP, QAPP, or DQOs include collecting collocated or duplicate samples?</w:t>
            </w:r>
            <w:r>
              <w:t xml:space="preserve"> If so, were an appropriate amount duplicates collected?</w:t>
            </w:r>
          </w:p>
        </w:tc>
        <w:tc>
          <w:tcPr>
            <w:tcW w:w="4675" w:type="dxa"/>
          </w:tcPr>
          <w:p w14:paraId="0CDF08F4" w14:textId="77777777" w:rsidR="005909EF" w:rsidRDefault="005909EF" w:rsidP="00884CA6">
            <w:r>
              <w:rPr>
                <w:rStyle w:val="normaltextrun"/>
                <w:rFonts w:ascii="Calibri" w:hAnsi="Calibri" w:cs="Calibri"/>
                <w:b/>
                <w:bCs/>
                <w:color w:val="000000"/>
                <w:shd w:val="clear" w:color="auto" w:fill="FFFFFF"/>
              </w:rPr>
              <w:t>Indicate yes, no, or N/A:</w:t>
            </w:r>
            <w:r>
              <w:rPr>
                <w:rStyle w:val="eop"/>
                <w:rFonts w:ascii="Calibri" w:hAnsi="Calibri" w:cs="Calibri"/>
                <w:color w:val="000000"/>
                <w:shd w:val="clear" w:color="auto" w:fill="FFFFFF"/>
              </w:rPr>
              <w:t> </w:t>
            </w:r>
          </w:p>
        </w:tc>
      </w:tr>
      <w:tr w:rsidR="005909EF" w14:paraId="16FA2E54" w14:textId="77777777" w:rsidTr="1FECFCEC">
        <w:tc>
          <w:tcPr>
            <w:tcW w:w="4675" w:type="dxa"/>
            <w:shd w:val="clear" w:color="auto" w:fill="D9D9D9" w:themeFill="background1" w:themeFillShade="D9"/>
          </w:tcPr>
          <w:p w14:paraId="0B13CA0B" w14:textId="4A6D348E" w:rsidR="005909EF" w:rsidRDefault="005909EF" w:rsidP="00884CA6">
            <w:r>
              <w:t>10.2.2</w:t>
            </w:r>
            <w:r>
              <w:tab/>
              <w:t>Was the duplicate analysis performed on a field sample?</w:t>
            </w:r>
          </w:p>
        </w:tc>
        <w:tc>
          <w:tcPr>
            <w:tcW w:w="4675" w:type="dxa"/>
          </w:tcPr>
          <w:p w14:paraId="113AC73D" w14:textId="77777777" w:rsidR="005909EF" w:rsidRDefault="005909EF" w:rsidP="00884CA6">
            <w:r>
              <w:rPr>
                <w:rStyle w:val="normaltextrun"/>
                <w:rFonts w:ascii="Calibri" w:hAnsi="Calibri" w:cs="Calibri"/>
                <w:b/>
                <w:bCs/>
                <w:color w:val="000000"/>
                <w:shd w:val="clear" w:color="auto" w:fill="FFFFFF"/>
              </w:rPr>
              <w:t>Indicate yes, no, or N/A:</w:t>
            </w:r>
            <w:r>
              <w:rPr>
                <w:rStyle w:val="eop"/>
                <w:rFonts w:ascii="Calibri" w:hAnsi="Calibri" w:cs="Calibri"/>
                <w:color w:val="000000"/>
                <w:shd w:val="clear" w:color="auto" w:fill="FFFFFF"/>
              </w:rPr>
              <w:t> </w:t>
            </w:r>
          </w:p>
        </w:tc>
      </w:tr>
      <w:tr w:rsidR="005909EF" w14:paraId="60787F4F" w14:textId="77777777" w:rsidTr="1FECFCEC">
        <w:tc>
          <w:tcPr>
            <w:tcW w:w="4675" w:type="dxa"/>
            <w:shd w:val="clear" w:color="auto" w:fill="D9D9D9" w:themeFill="background1" w:themeFillShade="D9"/>
          </w:tcPr>
          <w:p w14:paraId="16D004B7" w14:textId="7E949255" w:rsidR="005909EF" w:rsidRDefault="005909EF" w:rsidP="1FECFCEC">
            <w:r>
              <w:t>10.2.3</w:t>
            </w:r>
            <w:r>
              <w:tab/>
              <w:t>Were RPDs within the established control limits</w:t>
            </w:r>
            <w:r w:rsidR="777C3AF0" w:rsidRPr="1FECFCEC">
              <w:rPr>
                <w:rFonts w:ascii="Segoe UI" w:eastAsia="Segoe UI" w:hAnsi="Segoe UI" w:cs="Segoe UI"/>
                <w:color w:val="000000" w:themeColor="text1"/>
              </w:rPr>
              <w:t xml:space="preserve"> (≤</w:t>
            </w:r>
            <w:r w:rsidR="777C3AF0" w:rsidRPr="1FECFCEC">
              <w:rPr>
                <w:rFonts w:ascii="Calibri" w:eastAsia="Calibri" w:hAnsi="Calibri" w:cs="Calibri"/>
                <w:color w:val="000000" w:themeColor="text1"/>
              </w:rPr>
              <w:t>20%)?</w:t>
            </w:r>
            <w:r>
              <w:t>?</w:t>
            </w:r>
          </w:p>
          <w:p w14:paraId="45519CCC" w14:textId="77777777" w:rsidR="005909EF" w:rsidRDefault="005909EF" w:rsidP="00884CA6"/>
          <w:p w14:paraId="66F9206A" w14:textId="0664C28B" w:rsidR="005909EF" w:rsidRPr="00847664" w:rsidRDefault="005909EF" w:rsidP="00884CA6">
            <w:pPr>
              <w:rPr>
                <w:i/>
              </w:rPr>
            </w:pPr>
            <w:r w:rsidRPr="00847664">
              <w:rPr>
                <w:i/>
                <w:iCs/>
              </w:rPr>
              <w:t>Action: Determine whether RPD values exceed control limits by using Table 10-</w:t>
            </w:r>
            <w:r w:rsidR="4FE1EEA5" w:rsidRPr="5324AA50">
              <w:rPr>
                <w:i/>
                <w:iCs/>
              </w:rPr>
              <w:t>2</w:t>
            </w:r>
            <w:r w:rsidRPr="00847664">
              <w:rPr>
                <w:i/>
                <w:iCs/>
              </w:rPr>
              <w:t xml:space="preserve"> below. If duplicate sample results are outside of the criteria, samples with detected results should be qualified as estimated and flagged with “J”. Non-detected results should be qualified as estimated and flagged with “UJ”. </w:t>
            </w:r>
          </w:p>
        </w:tc>
        <w:tc>
          <w:tcPr>
            <w:tcW w:w="4675" w:type="dxa"/>
          </w:tcPr>
          <w:p w14:paraId="7E5D6855" w14:textId="77777777" w:rsidR="005909EF" w:rsidRDefault="005909EF" w:rsidP="00884CA6">
            <w:r>
              <w:rPr>
                <w:rStyle w:val="normaltextrun"/>
                <w:rFonts w:ascii="Calibri" w:hAnsi="Calibri" w:cs="Calibri"/>
                <w:b/>
                <w:bCs/>
                <w:color w:val="000000"/>
                <w:bdr w:val="none" w:sz="0" w:space="0" w:color="auto" w:frame="1"/>
              </w:rPr>
              <w:t>Record the recovery data out of criteria and control limits.</w:t>
            </w:r>
          </w:p>
        </w:tc>
      </w:tr>
      <w:tr w:rsidR="005909EF" w14:paraId="7442F2C9" w14:textId="77777777" w:rsidTr="1FECFCEC">
        <w:tc>
          <w:tcPr>
            <w:tcW w:w="4675" w:type="dxa"/>
            <w:shd w:val="clear" w:color="auto" w:fill="D9D9D9" w:themeFill="background1" w:themeFillShade="D9"/>
          </w:tcPr>
          <w:p w14:paraId="09B8F26A" w14:textId="77777777" w:rsidR="005909EF" w:rsidRDefault="005909EF" w:rsidP="00884CA6">
            <w:r>
              <w:t>10.4.4</w:t>
            </w:r>
            <w:r>
              <w:tab/>
            </w:r>
            <w:r w:rsidRPr="0048092F">
              <w:t>Verify the calculations for at least one RPD.</w:t>
            </w:r>
          </w:p>
          <w:p w14:paraId="17387186" w14:textId="77777777" w:rsidR="005909EF" w:rsidRDefault="005909EF" w:rsidP="00884CA6"/>
          <w:p w14:paraId="6B67F12D" w14:textId="77777777" w:rsidR="005909EF" w:rsidRDefault="005909EF" w:rsidP="00884CA6">
            <w:pPr>
              <w:jc w:val="center"/>
            </w:pPr>
            <m:oMathPara>
              <m:oMath>
                <m:r>
                  <w:rPr>
                    <w:rFonts w:ascii="Cambria Math" w:hAnsi="Cambria Math"/>
                  </w:rPr>
                  <m:t xml:space="preserve">RPD= </m:t>
                </m:r>
                <m:f>
                  <m:fPr>
                    <m:ctrlPr>
                      <w:rPr>
                        <w:rFonts w:ascii="Cambria Math" w:hAnsi="Cambria Math"/>
                        <w:i/>
                      </w:rPr>
                    </m:ctrlPr>
                  </m:fPr>
                  <m:num>
                    <m:d>
                      <m:dPr>
                        <m:begChr m:val="|"/>
                        <m:endChr m:val="|"/>
                        <m:ctrlPr>
                          <w:rPr>
                            <w:rFonts w:ascii="Cambria Math" w:hAnsi="Cambria Math"/>
                            <w:i/>
                          </w:rPr>
                        </m:ctrlPr>
                      </m:dPr>
                      <m:e>
                        <m:r>
                          <w:rPr>
                            <w:rFonts w:ascii="Cambria Math" w:hAnsi="Cambria Math"/>
                          </w:rPr>
                          <m:t>S -D</m:t>
                        </m:r>
                      </m:e>
                    </m:d>
                  </m:num>
                  <m:den>
                    <m:f>
                      <m:fPr>
                        <m:type m:val="lin"/>
                        <m:ctrlPr>
                          <w:rPr>
                            <w:rFonts w:ascii="Cambria Math" w:hAnsi="Cambria Math"/>
                            <w:i/>
                          </w:rPr>
                        </m:ctrlPr>
                      </m:fPr>
                      <m:num>
                        <m:d>
                          <m:dPr>
                            <m:ctrlPr>
                              <w:rPr>
                                <w:rFonts w:ascii="Cambria Math" w:hAnsi="Cambria Math"/>
                                <w:i/>
                              </w:rPr>
                            </m:ctrlPr>
                          </m:dPr>
                          <m:e>
                            <m:r>
                              <w:rPr>
                                <w:rFonts w:ascii="Cambria Math" w:hAnsi="Cambria Math"/>
                              </w:rPr>
                              <m:t>S +D</m:t>
                            </m:r>
                          </m:e>
                        </m:d>
                      </m:num>
                      <m:den>
                        <m:r>
                          <w:rPr>
                            <w:rFonts w:ascii="Cambria Math" w:hAnsi="Cambria Math"/>
                          </w:rPr>
                          <m:t>2</m:t>
                        </m:r>
                      </m:den>
                    </m:f>
                  </m:den>
                </m:f>
                <m:r>
                  <w:rPr>
                    <w:rFonts w:ascii="Cambria Math" w:hAnsi="Cambria Math"/>
                  </w:rPr>
                  <m:t xml:space="preserve"> ×100</m:t>
                </m:r>
              </m:oMath>
            </m:oMathPara>
          </w:p>
          <w:p w14:paraId="0D9C40D7" w14:textId="77777777" w:rsidR="005909EF" w:rsidRDefault="005909EF" w:rsidP="00884CA6"/>
          <w:p w14:paraId="3E702463" w14:textId="77777777" w:rsidR="005909EF" w:rsidRDefault="005909EF" w:rsidP="00884CA6">
            <w:r>
              <w:t>Where:</w:t>
            </w:r>
          </w:p>
          <w:p w14:paraId="6F30D137" w14:textId="77777777" w:rsidR="005909EF" w:rsidRDefault="005909EF" w:rsidP="00884CA6">
            <w:r>
              <w:t>S = Sample result (original)</w:t>
            </w:r>
          </w:p>
          <w:p w14:paraId="3ED7105C" w14:textId="77777777" w:rsidR="005909EF" w:rsidRDefault="005909EF" w:rsidP="00884CA6">
            <w:r>
              <w:t>D = Duplicate result</w:t>
            </w:r>
          </w:p>
        </w:tc>
        <w:tc>
          <w:tcPr>
            <w:tcW w:w="4675" w:type="dxa"/>
          </w:tcPr>
          <w:p w14:paraId="5B9B6A1E" w14:textId="77777777" w:rsidR="005909EF" w:rsidRDefault="005909EF" w:rsidP="00884CA6">
            <w:r>
              <w:rPr>
                <w:rStyle w:val="normaltextrun"/>
                <w:rFonts w:ascii="Calibri" w:hAnsi="Calibri" w:cs="Calibri"/>
                <w:b/>
                <w:bCs/>
                <w:color w:val="000000"/>
                <w:bdr w:val="none" w:sz="0" w:space="0" w:color="auto" w:frame="1"/>
              </w:rPr>
              <w:t>Show results of verified RPD calculation:</w:t>
            </w:r>
          </w:p>
        </w:tc>
      </w:tr>
    </w:tbl>
    <w:p w14:paraId="149E92CC" w14:textId="1F93B679" w:rsidR="005909EF" w:rsidRDefault="005909EF" w:rsidP="006567C7"/>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2205"/>
        <w:gridCol w:w="2115"/>
      </w:tblGrid>
      <w:tr w:rsidR="00A16D8D" w14:paraId="283E8354" w14:textId="77777777" w:rsidTr="00884CA6">
        <w:trPr>
          <w:trHeight w:val="392"/>
        </w:trPr>
        <w:tc>
          <w:tcPr>
            <w:tcW w:w="9360" w:type="dxa"/>
            <w:gridSpan w:val="3"/>
            <w:shd w:val="clear" w:color="auto" w:fill="D9D9D9" w:themeFill="background1" w:themeFillShade="D9"/>
            <w:vAlign w:val="center"/>
          </w:tcPr>
          <w:p w14:paraId="510E2F6F" w14:textId="3616E364" w:rsidR="00A16D8D" w:rsidRPr="00F534BB" w:rsidRDefault="00A16D8D" w:rsidP="00884CA6">
            <w:pPr>
              <w:spacing w:after="0" w:line="240" w:lineRule="auto"/>
              <w:jc w:val="center"/>
              <w:rPr>
                <w:b/>
                <w:bCs/>
              </w:rPr>
            </w:pPr>
            <w:bookmarkStart w:id="0" w:name="_Hlk115358541"/>
            <w:r>
              <w:rPr>
                <w:b/>
                <w:bCs/>
              </w:rPr>
              <w:t>Table 10-2: Duplicate Sample</w:t>
            </w:r>
            <w:r w:rsidRPr="00225B30">
              <w:rPr>
                <w:b/>
                <w:bCs/>
              </w:rPr>
              <w:t xml:space="preserve"> Actions for </w:t>
            </w:r>
            <w:r>
              <w:rPr>
                <w:b/>
                <w:bCs/>
              </w:rPr>
              <w:t xml:space="preserve">Cyanide </w:t>
            </w:r>
          </w:p>
        </w:tc>
      </w:tr>
      <w:tr w:rsidR="00A16D8D" w14:paraId="6DC35762" w14:textId="77777777" w:rsidTr="00884CA6">
        <w:trPr>
          <w:trHeight w:val="323"/>
        </w:trPr>
        <w:tc>
          <w:tcPr>
            <w:tcW w:w="5040" w:type="dxa"/>
            <w:vMerge w:val="restart"/>
            <w:shd w:val="clear" w:color="auto" w:fill="D9D9D9" w:themeFill="background1" w:themeFillShade="D9"/>
            <w:vAlign w:val="center"/>
          </w:tcPr>
          <w:p w14:paraId="0140E45E" w14:textId="77777777" w:rsidR="00A16D8D" w:rsidRPr="00F534BB" w:rsidRDefault="00A16D8D" w:rsidP="00884CA6">
            <w:pPr>
              <w:spacing w:after="0" w:line="240" w:lineRule="auto"/>
              <w:jc w:val="center"/>
              <w:rPr>
                <w:b/>
                <w:bCs/>
              </w:rPr>
            </w:pPr>
            <w:r w:rsidRPr="00F534BB">
              <w:rPr>
                <w:b/>
                <w:bCs/>
              </w:rPr>
              <w:t>Criteria</w:t>
            </w:r>
          </w:p>
        </w:tc>
        <w:tc>
          <w:tcPr>
            <w:tcW w:w="4320" w:type="dxa"/>
            <w:gridSpan w:val="2"/>
            <w:shd w:val="clear" w:color="auto" w:fill="D9D9D9" w:themeFill="background1" w:themeFillShade="D9"/>
            <w:vAlign w:val="center"/>
          </w:tcPr>
          <w:p w14:paraId="31859C20" w14:textId="77777777" w:rsidR="00A16D8D" w:rsidRPr="00F534BB" w:rsidRDefault="00A16D8D" w:rsidP="00884CA6">
            <w:pPr>
              <w:spacing w:after="0" w:line="240" w:lineRule="auto"/>
              <w:jc w:val="center"/>
              <w:rPr>
                <w:b/>
                <w:bCs/>
              </w:rPr>
            </w:pPr>
            <w:r w:rsidRPr="00F534BB">
              <w:rPr>
                <w:b/>
                <w:bCs/>
              </w:rPr>
              <w:t>Action</w:t>
            </w:r>
          </w:p>
        </w:tc>
      </w:tr>
      <w:tr w:rsidR="00A16D8D" w14:paraId="5041BDD5" w14:textId="77777777" w:rsidTr="00884CA6">
        <w:trPr>
          <w:trHeight w:val="368"/>
        </w:trPr>
        <w:tc>
          <w:tcPr>
            <w:tcW w:w="5040" w:type="dxa"/>
            <w:vMerge/>
            <w:shd w:val="clear" w:color="auto" w:fill="D9D9D9" w:themeFill="background1" w:themeFillShade="D9"/>
          </w:tcPr>
          <w:p w14:paraId="79FC352F" w14:textId="77777777" w:rsidR="00A16D8D" w:rsidRPr="004D4D95" w:rsidRDefault="00A16D8D" w:rsidP="00884CA6">
            <w:pPr>
              <w:spacing w:after="0" w:line="240" w:lineRule="auto"/>
              <w:rPr>
                <w:b/>
                <w:bCs/>
              </w:rPr>
            </w:pPr>
          </w:p>
        </w:tc>
        <w:tc>
          <w:tcPr>
            <w:tcW w:w="2205" w:type="dxa"/>
            <w:shd w:val="clear" w:color="auto" w:fill="D9D9D9" w:themeFill="background1" w:themeFillShade="D9"/>
            <w:vAlign w:val="center"/>
          </w:tcPr>
          <w:p w14:paraId="5B9147EE" w14:textId="77777777" w:rsidR="00A16D8D" w:rsidRPr="004D4D95" w:rsidRDefault="00A16D8D" w:rsidP="00884CA6">
            <w:pPr>
              <w:spacing w:after="0" w:line="240" w:lineRule="auto"/>
              <w:jc w:val="center"/>
              <w:rPr>
                <w:b/>
                <w:bCs/>
              </w:rPr>
            </w:pPr>
            <w:r w:rsidRPr="004D4D95">
              <w:rPr>
                <w:b/>
                <w:bCs/>
              </w:rPr>
              <w:t>Detect</w:t>
            </w:r>
          </w:p>
        </w:tc>
        <w:tc>
          <w:tcPr>
            <w:tcW w:w="2115" w:type="dxa"/>
            <w:shd w:val="clear" w:color="auto" w:fill="D9D9D9" w:themeFill="background1" w:themeFillShade="D9"/>
            <w:vAlign w:val="center"/>
          </w:tcPr>
          <w:p w14:paraId="6F81590A" w14:textId="77777777" w:rsidR="00A16D8D" w:rsidRPr="004D4D95" w:rsidRDefault="00A16D8D" w:rsidP="00884CA6">
            <w:pPr>
              <w:spacing w:after="0" w:line="240" w:lineRule="auto"/>
              <w:jc w:val="center"/>
              <w:rPr>
                <w:b/>
                <w:bCs/>
              </w:rPr>
            </w:pPr>
            <w:r w:rsidRPr="004D4D95">
              <w:rPr>
                <w:b/>
                <w:bCs/>
              </w:rPr>
              <w:t>Non-detect</w:t>
            </w:r>
          </w:p>
        </w:tc>
      </w:tr>
      <w:tr w:rsidR="00A16D8D" w14:paraId="4592E521" w14:textId="77777777" w:rsidTr="00884CA6">
        <w:trPr>
          <w:trHeight w:val="602"/>
        </w:trPr>
        <w:tc>
          <w:tcPr>
            <w:tcW w:w="5040" w:type="dxa"/>
          </w:tcPr>
          <w:p w14:paraId="051C6F1F" w14:textId="77777777" w:rsidR="00A16D8D" w:rsidRDefault="00A16D8D" w:rsidP="00884CA6">
            <w:pPr>
              <w:spacing w:after="0" w:line="240" w:lineRule="auto"/>
            </w:pPr>
            <w:r w:rsidRPr="00A44F9F">
              <w:lastRenderedPageBreak/>
              <w:t>Both original sample and duplicate sample results are ≥ 5x the QL and RPD &gt; 20%*</w:t>
            </w:r>
          </w:p>
        </w:tc>
        <w:tc>
          <w:tcPr>
            <w:tcW w:w="2205" w:type="dxa"/>
            <w:vAlign w:val="center"/>
          </w:tcPr>
          <w:p w14:paraId="2EDFAA77" w14:textId="77777777" w:rsidR="00A16D8D" w:rsidRDefault="00A16D8D" w:rsidP="00884CA6">
            <w:pPr>
              <w:spacing w:after="0" w:line="240" w:lineRule="auto"/>
              <w:jc w:val="center"/>
            </w:pPr>
            <w:r>
              <w:t>J</w:t>
            </w:r>
          </w:p>
        </w:tc>
        <w:tc>
          <w:tcPr>
            <w:tcW w:w="2115" w:type="dxa"/>
            <w:vAlign w:val="center"/>
          </w:tcPr>
          <w:p w14:paraId="559B6588" w14:textId="77777777" w:rsidR="00A16D8D" w:rsidRDefault="00A16D8D" w:rsidP="00884CA6">
            <w:pPr>
              <w:spacing w:after="0" w:line="240" w:lineRule="auto"/>
              <w:jc w:val="center"/>
            </w:pPr>
            <w:r>
              <w:t>UJ</w:t>
            </w:r>
          </w:p>
        </w:tc>
      </w:tr>
      <w:tr w:rsidR="00A16D8D" w14:paraId="24049B14" w14:textId="77777777" w:rsidTr="00884CA6">
        <w:trPr>
          <w:trHeight w:val="530"/>
        </w:trPr>
        <w:tc>
          <w:tcPr>
            <w:tcW w:w="5040" w:type="dxa"/>
          </w:tcPr>
          <w:p w14:paraId="2F6CEAD9" w14:textId="77777777" w:rsidR="00A16D8D" w:rsidRDefault="00A16D8D" w:rsidP="00884CA6">
            <w:pPr>
              <w:spacing w:after="0" w:line="240" w:lineRule="auto"/>
            </w:pPr>
            <w:r w:rsidRPr="008C726B">
              <w:t>RPD &gt; 100%</w:t>
            </w:r>
          </w:p>
        </w:tc>
        <w:tc>
          <w:tcPr>
            <w:tcW w:w="2205" w:type="dxa"/>
            <w:vAlign w:val="center"/>
          </w:tcPr>
          <w:p w14:paraId="007A41BB" w14:textId="77777777" w:rsidR="00A16D8D" w:rsidRDefault="00A16D8D" w:rsidP="00884CA6">
            <w:pPr>
              <w:spacing w:after="0" w:line="240" w:lineRule="auto"/>
              <w:jc w:val="center"/>
            </w:pPr>
            <w:r>
              <w:t>Use professional judgment</w:t>
            </w:r>
          </w:p>
        </w:tc>
        <w:tc>
          <w:tcPr>
            <w:tcW w:w="2115" w:type="dxa"/>
            <w:vAlign w:val="center"/>
          </w:tcPr>
          <w:p w14:paraId="6D384D91" w14:textId="77777777" w:rsidR="00A16D8D" w:rsidRDefault="00A16D8D" w:rsidP="00884CA6">
            <w:pPr>
              <w:spacing w:after="0" w:line="240" w:lineRule="auto"/>
              <w:jc w:val="center"/>
            </w:pPr>
            <w:r>
              <w:t>Use professional judgment</w:t>
            </w:r>
          </w:p>
        </w:tc>
      </w:tr>
      <w:tr w:rsidR="00A16D8D" w14:paraId="5B1C787A" w14:textId="77777777" w:rsidTr="00884CA6">
        <w:trPr>
          <w:trHeight w:val="512"/>
        </w:trPr>
        <w:tc>
          <w:tcPr>
            <w:tcW w:w="5040" w:type="dxa"/>
          </w:tcPr>
          <w:p w14:paraId="5FBE26C1" w14:textId="77777777" w:rsidR="00A16D8D" w:rsidRDefault="00A16D8D" w:rsidP="00884CA6">
            <w:pPr>
              <w:spacing w:after="0" w:line="240" w:lineRule="auto"/>
            </w:pPr>
            <w:r w:rsidRPr="00F03AFC">
              <w:t>Both original sample and duplicate sample results are ≥ 5x the QL and RPD ≤ 20%</w:t>
            </w:r>
          </w:p>
        </w:tc>
        <w:tc>
          <w:tcPr>
            <w:tcW w:w="2205" w:type="dxa"/>
            <w:vAlign w:val="center"/>
          </w:tcPr>
          <w:p w14:paraId="1CE1A7D0" w14:textId="77777777" w:rsidR="00A16D8D" w:rsidRDefault="00A16D8D" w:rsidP="00884CA6">
            <w:pPr>
              <w:spacing w:after="0" w:line="240" w:lineRule="auto"/>
              <w:jc w:val="center"/>
            </w:pPr>
            <w:r>
              <w:t>No qualification</w:t>
            </w:r>
          </w:p>
        </w:tc>
        <w:tc>
          <w:tcPr>
            <w:tcW w:w="2115" w:type="dxa"/>
            <w:vAlign w:val="center"/>
          </w:tcPr>
          <w:p w14:paraId="17EF870B" w14:textId="77777777" w:rsidR="00A16D8D" w:rsidRDefault="00A16D8D" w:rsidP="00884CA6">
            <w:pPr>
              <w:spacing w:after="0" w:line="240" w:lineRule="auto"/>
              <w:jc w:val="center"/>
            </w:pPr>
            <w:r>
              <w:t>No qualification</w:t>
            </w:r>
          </w:p>
        </w:tc>
      </w:tr>
      <w:tr w:rsidR="00A16D8D" w14:paraId="7C4FA400" w14:textId="77777777" w:rsidTr="00884CA6">
        <w:trPr>
          <w:trHeight w:val="782"/>
        </w:trPr>
        <w:tc>
          <w:tcPr>
            <w:tcW w:w="5040" w:type="dxa"/>
          </w:tcPr>
          <w:p w14:paraId="6E46C519" w14:textId="77777777" w:rsidR="00A16D8D" w:rsidRDefault="00A16D8D" w:rsidP="00884CA6">
            <w:pPr>
              <w:spacing w:after="0" w:line="240" w:lineRule="auto"/>
            </w:pPr>
            <w:r w:rsidRPr="00FB39AE">
              <w:t>Original sample or duplicate sample result &lt; 5x the QL (including non-detects) and absolute difference between sample and duplicate &gt; QL*</w:t>
            </w:r>
          </w:p>
        </w:tc>
        <w:tc>
          <w:tcPr>
            <w:tcW w:w="2205" w:type="dxa"/>
            <w:vAlign w:val="center"/>
          </w:tcPr>
          <w:p w14:paraId="2C0435B0" w14:textId="77777777" w:rsidR="00A16D8D" w:rsidRDefault="00A16D8D" w:rsidP="00884CA6">
            <w:pPr>
              <w:spacing w:after="0" w:line="240" w:lineRule="auto"/>
              <w:jc w:val="center"/>
            </w:pPr>
            <w:r>
              <w:t>J</w:t>
            </w:r>
          </w:p>
        </w:tc>
        <w:tc>
          <w:tcPr>
            <w:tcW w:w="2115" w:type="dxa"/>
            <w:vAlign w:val="center"/>
          </w:tcPr>
          <w:p w14:paraId="388C601A" w14:textId="77777777" w:rsidR="00A16D8D" w:rsidRDefault="00A16D8D" w:rsidP="00884CA6">
            <w:pPr>
              <w:spacing w:after="0" w:line="240" w:lineRule="auto"/>
              <w:jc w:val="center"/>
            </w:pPr>
            <w:r>
              <w:t>UJ</w:t>
            </w:r>
          </w:p>
        </w:tc>
      </w:tr>
      <w:tr w:rsidR="00A16D8D" w14:paraId="1BE7226F" w14:textId="77777777" w:rsidTr="00884CA6">
        <w:trPr>
          <w:trHeight w:val="803"/>
        </w:trPr>
        <w:tc>
          <w:tcPr>
            <w:tcW w:w="5040" w:type="dxa"/>
          </w:tcPr>
          <w:p w14:paraId="16539D0C" w14:textId="77777777" w:rsidR="00A16D8D" w:rsidRDefault="00A16D8D" w:rsidP="00884CA6">
            <w:pPr>
              <w:spacing w:after="0" w:line="240" w:lineRule="auto"/>
            </w:pPr>
            <w:r w:rsidRPr="002C0E4D">
              <w:t>Original sample or duplicate sample result &lt; 5x the QL (including non-detects) and absolute difference between sample and duplicate ≤ QL</w:t>
            </w:r>
          </w:p>
        </w:tc>
        <w:tc>
          <w:tcPr>
            <w:tcW w:w="2205" w:type="dxa"/>
            <w:vAlign w:val="center"/>
          </w:tcPr>
          <w:p w14:paraId="20BC9161" w14:textId="77777777" w:rsidR="00A16D8D" w:rsidRDefault="00A16D8D" w:rsidP="00884CA6">
            <w:pPr>
              <w:spacing w:after="0" w:line="240" w:lineRule="auto"/>
              <w:jc w:val="center"/>
            </w:pPr>
            <w:r>
              <w:t>No qualification</w:t>
            </w:r>
          </w:p>
        </w:tc>
        <w:tc>
          <w:tcPr>
            <w:tcW w:w="2115" w:type="dxa"/>
            <w:vAlign w:val="center"/>
          </w:tcPr>
          <w:p w14:paraId="7D21FCAB" w14:textId="77777777" w:rsidR="00A16D8D" w:rsidRDefault="00A16D8D" w:rsidP="00884CA6">
            <w:pPr>
              <w:spacing w:after="0" w:line="240" w:lineRule="auto"/>
              <w:jc w:val="center"/>
            </w:pPr>
            <w:r>
              <w:t>No qualification</w:t>
            </w:r>
          </w:p>
        </w:tc>
      </w:tr>
    </w:tbl>
    <w:bookmarkEnd w:id="0"/>
    <w:p w14:paraId="00CBF04A" w14:textId="30CB5621" w:rsidR="005909EF" w:rsidRDefault="00E1175A" w:rsidP="00E1175A">
      <w:pPr>
        <w:spacing w:after="0" w:line="240" w:lineRule="auto"/>
      </w:pPr>
      <w:r>
        <w:t>* Project DQOs may allow the use of less restrictive criteria (</w:t>
      </w:r>
      <w:r w:rsidRPr="00F310B5">
        <w:rPr>
          <w:i/>
          <w:iCs/>
        </w:rPr>
        <w:t>e.g.</w:t>
      </w:r>
      <w:r>
        <w:t>, 35% RPD, 2x the QL) to be assessed against duplicate soil samples due to laboratory variability arising from the sub-sampling of non-homogenous soil samples.</w:t>
      </w:r>
    </w:p>
    <w:p w14:paraId="03B3EE2F" w14:textId="28C52B69" w:rsidR="00F825B5" w:rsidRDefault="00F825B5" w:rsidP="00E1175A">
      <w:pPr>
        <w:spacing w:after="0" w:line="240" w:lineRule="auto"/>
      </w:pPr>
    </w:p>
    <w:tbl>
      <w:tblPr>
        <w:tblStyle w:val="TableGrid"/>
        <w:tblW w:w="9355" w:type="dxa"/>
        <w:tblLook w:val="04A0" w:firstRow="1" w:lastRow="0" w:firstColumn="1" w:lastColumn="0" w:noHBand="0" w:noVBand="1"/>
      </w:tblPr>
      <w:tblGrid>
        <w:gridCol w:w="6295"/>
        <w:gridCol w:w="3060"/>
      </w:tblGrid>
      <w:tr w:rsidR="00F825B5" w14:paraId="0CEE319F" w14:textId="77777777" w:rsidTr="00884CA6">
        <w:trPr>
          <w:trHeight w:val="404"/>
        </w:trPr>
        <w:tc>
          <w:tcPr>
            <w:tcW w:w="9355" w:type="dxa"/>
            <w:gridSpan w:val="2"/>
            <w:shd w:val="clear" w:color="auto" w:fill="D9D9D9" w:themeFill="background1" w:themeFillShade="D9"/>
          </w:tcPr>
          <w:p w14:paraId="591B71EB" w14:textId="0D3888E8" w:rsidR="00F825B5" w:rsidRPr="00582727" w:rsidRDefault="00F825B5" w:rsidP="00884CA6">
            <w:pPr>
              <w:rPr>
                <w:b/>
                <w:bCs/>
              </w:rPr>
            </w:pPr>
            <w:r>
              <w:rPr>
                <w:b/>
                <w:bCs/>
              </w:rPr>
              <w:t>10.3 Cyanide Data Review – Laboratory Control Samples</w:t>
            </w:r>
          </w:p>
        </w:tc>
      </w:tr>
      <w:tr w:rsidR="00F825B5" w14:paraId="729F44F4" w14:textId="77777777" w:rsidTr="00884CA6">
        <w:tc>
          <w:tcPr>
            <w:tcW w:w="9355" w:type="dxa"/>
            <w:gridSpan w:val="2"/>
            <w:shd w:val="clear" w:color="auto" w:fill="D9D9D9" w:themeFill="background1" w:themeFillShade="D9"/>
          </w:tcPr>
          <w:p w14:paraId="28F24DCC" w14:textId="77777777" w:rsidR="00F825B5" w:rsidRDefault="00F825B5" w:rsidP="00884CA6">
            <w:pPr>
              <w:rPr>
                <w:b/>
                <w:bCs/>
              </w:rPr>
            </w:pPr>
            <w:r>
              <w:rPr>
                <w:b/>
                <w:bCs/>
              </w:rPr>
              <w:t>Laboratory Control Samples (LCSs) are analyte-free water or solid, clean control matrixes similar to the sample matrix, spiked with target analytes at known concentrations. LCSs are analyzed using the same sample preparation, reagents, and analytical methods employed for the samples received. The LCS should be</w:t>
            </w:r>
            <w:r w:rsidRPr="006334ED">
              <w:rPr>
                <w:b/>
                <w:bCs/>
              </w:rPr>
              <w:t xml:space="preserve"> spiked at the same levels and using the same spiking materials as the corresponding MS</w:t>
            </w:r>
            <w:r>
              <w:rPr>
                <w:b/>
                <w:bCs/>
              </w:rPr>
              <w:t xml:space="preserve"> and </w:t>
            </w:r>
            <w:r w:rsidRPr="006334ED">
              <w:rPr>
                <w:b/>
                <w:bCs/>
              </w:rPr>
              <w:t>MSD</w:t>
            </w:r>
            <w:r>
              <w:rPr>
                <w:b/>
                <w:bCs/>
              </w:rPr>
              <w:t xml:space="preserve">. </w:t>
            </w:r>
            <w:r w:rsidRPr="007F72E8">
              <w:rPr>
                <w:b/>
                <w:bCs/>
              </w:rPr>
              <w:t xml:space="preserve">When the results of the MS analysis indicate a potential problem due to the sample matrix itself, the LCS results are used to verify that the laboratory can acceptably perform </w:t>
            </w:r>
            <w:r>
              <w:rPr>
                <w:b/>
                <w:bCs/>
              </w:rPr>
              <w:t xml:space="preserve">unbiased </w:t>
            </w:r>
            <w:r w:rsidRPr="007F72E8">
              <w:rPr>
                <w:b/>
                <w:bCs/>
              </w:rPr>
              <w:t>analysis in a clean matrix</w:t>
            </w:r>
            <w:r>
              <w:rPr>
                <w:b/>
                <w:bCs/>
              </w:rPr>
              <w:t xml:space="preserve">. </w:t>
            </w:r>
          </w:p>
        </w:tc>
      </w:tr>
      <w:tr w:rsidR="00F825B5" w14:paraId="07D8AB8E" w14:textId="77777777" w:rsidTr="00884CA6">
        <w:tc>
          <w:tcPr>
            <w:tcW w:w="6295" w:type="dxa"/>
            <w:shd w:val="clear" w:color="auto" w:fill="D9D9D9" w:themeFill="background1" w:themeFillShade="D9"/>
          </w:tcPr>
          <w:p w14:paraId="6325272B" w14:textId="1F3E4BBC" w:rsidR="00F825B5" w:rsidRDefault="00F825B5" w:rsidP="00884CA6">
            <w:pPr>
              <w:rPr>
                <w:i/>
                <w:iCs/>
              </w:rPr>
            </w:pPr>
            <w:r>
              <w:t>10</w:t>
            </w:r>
            <w:r w:rsidRPr="00376744">
              <w:t>.</w:t>
            </w:r>
            <w:r>
              <w:t>3</w:t>
            </w:r>
            <w:r w:rsidRPr="00376744">
              <w:t>.1</w:t>
            </w:r>
            <w:r>
              <w:tab/>
            </w:r>
            <w:r w:rsidRPr="00376744">
              <w:t>Was an LCS prepared, extracted, analyzed</w:t>
            </w:r>
            <w:r>
              <w:t>,</w:t>
            </w:r>
            <w:r w:rsidRPr="00376744">
              <w:t xml:space="preserve"> and reported once per batch of 20 samples?</w:t>
            </w:r>
          </w:p>
          <w:p w14:paraId="235C976E" w14:textId="77777777" w:rsidR="00F825B5" w:rsidRPr="00376744" w:rsidRDefault="00F825B5" w:rsidP="00884CA6">
            <w:pPr>
              <w:rPr>
                <w:i/>
              </w:rPr>
            </w:pPr>
          </w:p>
          <w:p w14:paraId="322A25A3" w14:textId="77777777" w:rsidR="00F825B5" w:rsidRPr="003B4886" w:rsidRDefault="00F825B5" w:rsidP="00884CA6">
            <w:pPr>
              <w:rPr>
                <w:b/>
                <w:bCs/>
              </w:rPr>
            </w:pPr>
            <w:r w:rsidRPr="003B4886">
              <w:rPr>
                <w:b/>
                <w:bCs/>
              </w:rPr>
              <w:t>Note:  This information should be included in the QA package provided by the lab. If not, contact the laboratory and request that the information be submitted. This information should be found in the injection log.</w:t>
            </w:r>
          </w:p>
          <w:p w14:paraId="15F2AD6B" w14:textId="77777777" w:rsidR="00F825B5" w:rsidRPr="00BA1C7D" w:rsidRDefault="00F825B5" w:rsidP="00884CA6">
            <w:pPr>
              <w:rPr>
                <w:b/>
                <w:bCs/>
                <w:i/>
                <w:iCs/>
              </w:rPr>
            </w:pPr>
          </w:p>
          <w:p w14:paraId="19F39520" w14:textId="77777777" w:rsidR="00F825B5" w:rsidRPr="00376744" w:rsidRDefault="00F825B5" w:rsidP="00884CA6">
            <w:pPr>
              <w:rPr>
                <w:i/>
              </w:rPr>
            </w:pPr>
            <w:r w:rsidRPr="00BA1C7D">
              <w:rPr>
                <w:i/>
                <w:iCs/>
              </w:rPr>
              <w:t>Action:  If LCS information cannot be found, contact the applicable party or laboratory for re-submittal of the data package. If LCS information is not present, qualify all detected results as “J” and all non-detect results as “UJ” or reject all results based on best professional judgment.</w:t>
            </w:r>
            <w:r>
              <w:rPr>
                <w:i/>
                <w:iCs/>
              </w:rPr>
              <w:t xml:space="preserve"> If matrix spikes were not performed either, reject all results.</w:t>
            </w:r>
          </w:p>
          <w:p w14:paraId="30ACA965" w14:textId="77777777" w:rsidR="00F825B5" w:rsidRPr="005F7089" w:rsidRDefault="00F825B5" w:rsidP="00884CA6">
            <w:pPr>
              <w:rPr>
                <w:i/>
                <w:iCs/>
              </w:rPr>
            </w:pPr>
          </w:p>
        </w:tc>
        <w:tc>
          <w:tcPr>
            <w:tcW w:w="3060" w:type="dxa"/>
          </w:tcPr>
          <w:p w14:paraId="6AEB4714" w14:textId="77777777" w:rsidR="00F825B5" w:rsidRPr="008217E2" w:rsidRDefault="00F825B5" w:rsidP="00884CA6">
            <w:pPr>
              <w:rPr>
                <w:b/>
                <w:bCs/>
              </w:rPr>
            </w:pPr>
            <w:r w:rsidRPr="008217E2">
              <w:rPr>
                <w:b/>
                <w:bCs/>
              </w:rPr>
              <w:t>Indicate yes or no:</w:t>
            </w:r>
          </w:p>
          <w:p w14:paraId="5F12BDBB" w14:textId="77777777" w:rsidR="00F825B5" w:rsidRPr="008217E2" w:rsidRDefault="00F825B5" w:rsidP="00884CA6"/>
          <w:p w14:paraId="6D058553" w14:textId="77777777" w:rsidR="00F825B5" w:rsidRDefault="00F825B5" w:rsidP="00884CA6">
            <w:r w:rsidRPr="008217E2">
              <w:rPr>
                <w:b/>
                <w:bCs/>
              </w:rPr>
              <w:t>Summarize any actions taken:</w:t>
            </w:r>
          </w:p>
        </w:tc>
      </w:tr>
      <w:tr w:rsidR="00F825B5" w14:paraId="091257C5" w14:textId="77777777" w:rsidTr="00884CA6">
        <w:tc>
          <w:tcPr>
            <w:tcW w:w="6295" w:type="dxa"/>
            <w:shd w:val="clear" w:color="auto" w:fill="D9D9D9" w:themeFill="background1" w:themeFillShade="D9"/>
          </w:tcPr>
          <w:p w14:paraId="1E3A175E" w14:textId="59D64AB0" w:rsidR="00F825B5" w:rsidRDefault="00F825B5" w:rsidP="00884CA6">
            <w:r>
              <w:t>10</w:t>
            </w:r>
            <w:r w:rsidDel="00862849">
              <w:t>.</w:t>
            </w:r>
            <w:r>
              <w:t>3</w:t>
            </w:r>
            <w:r w:rsidRPr="00376744">
              <w:t>.</w:t>
            </w:r>
            <w:r w:rsidDel="00862849">
              <w:t>2</w:t>
            </w:r>
            <w:r w:rsidRPr="00376744">
              <w:tab/>
              <w:t xml:space="preserve"> </w:t>
            </w:r>
            <w:r w:rsidR="00A426D7">
              <w:t>Were</w:t>
            </w:r>
            <w:r w:rsidRPr="00376744">
              <w:t xml:space="preserve"> LCS </w:t>
            </w:r>
            <w:r w:rsidR="002939F0">
              <w:t>results</w:t>
            </w:r>
            <w:r w:rsidRPr="00376744">
              <w:t xml:space="preserve"> within suggested QC limits (</w:t>
            </w:r>
            <w:r>
              <w:t>85</w:t>
            </w:r>
            <w:r w:rsidRPr="00376744">
              <w:t>% - 1</w:t>
            </w:r>
            <w:r>
              <w:t>15</w:t>
            </w:r>
            <w:r w:rsidRPr="00376744">
              <w:t xml:space="preserve">%) or limits provided by the lab? </w:t>
            </w:r>
          </w:p>
          <w:p w14:paraId="359F2E24" w14:textId="77777777" w:rsidR="00F825B5" w:rsidRPr="00376744" w:rsidRDefault="00F825B5" w:rsidP="00884CA6"/>
          <w:p w14:paraId="36B9EF60" w14:textId="77777777" w:rsidR="00F825B5" w:rsidRPr="00922622" w:rsidRDefault="00F825B5" w:rsidP="00884CA6">
            <w:r w:rsidRPr="00052DFD">
              <w:rPr>
                <w:b/>
                <w:bCs/>
              </w:rPr>
              <w:t xml:space="preserve">Note: </w:t>
            </w:r>
            <w:r>
              <w:rPr>
                <w:b/>
                <w:bCs/>
              </w:rPr>
              <w:t>U</w:t>
            </w:r>
            <w:r w:rsidRPr="00922622">
              <w:rPr>
                <w:b/>
                <w:bCs/>
              </w:rPr>
              <w:t xml:space="preserve">se </w:t>
            </w:r>
            <w:r>
              <w:rPr>
                <w:b/>
                <w:bCs/>
              </w:rPr>
              <w:t>85</w:t>
            </w:r>
            <w:r w:rsidRPr="00922622">
              <w:rPr>
                <w:b/>
                <w:bCs/>
              </w:rPr>
              <w:t>% -</w:t>
            </w:r>
            <w:r>
              <w:rPr>
                <w:b/>
                <w:bCs/>
              </w:rPr>
              <w:t xml:space="preserve"> </w:t>
            </w:r>
            <w:r w:rsidRPr="00922622">
              <w:rPr>
                <w:b/>
                <w:bCs/>
              </w:rPr>
              <w:t>1</w:t>
            </w:r>
            <w:r>
              <w:rPr>
                <w:b/>
                <w:bCs/>
              </w:rPr>
              <w:t>15</w:t>
            </w:r>
            <w:r w:rsidRPr="00922622">
              <w:rPr>
                <w:b/>
                <w:bCs/>
              </w:rPr>
              <w:t xml:space="preserve">% </w:t>
            </w:r>
            <w:r>
              <w:rPr>
                <w:b/>
                <w:bCs/>
              </w:rPr>
              <w:t>unless appropriate lab-specific</w:t>
            </w:r>
            <w:r w:rsidRPr="00922622">
              <w:rPr>
                <w:b/>
                <w:bCs/>
              </w:rPr>
              <w:t xml:space="preserve"> LCS limits </w:t>
            </w:r>
            <w:r>
              <w:rPr>
                <w:b/>
                <w:bCs/>
              </w:rPr>
              <w:t>have been</w:t>
            </w:r>
            <w:r w:rsidRPr="00922622">
              <w:rPr>
                <w:b/>
                <w:bCs/>
              </w:rPr>
              <w:t xml:space="preserve"> developed.</w:t>
            </w:r>
            <w:r>
              <w:rPr>
                <w:b/>
                <w:bCs/>
              </w:rPr>
              <w:t xml:space="preserve"> </w:t>
            </w:r>
            <w:r w:rsidRPr="00986BDF">
              <w:rPr>
                <w:b/>
                <w:bCs/>
              </w:rPr>
              <w:t xml:space="preserve">The results for solid and aqueous LCSs should always be within the control limits. </w:t>
            </w:r>
            <w:r>
              <w:rPr>
                <w:b/>
                <w:bCs/>
              </w:rPr>
              <w:t>If out of limits, t</w:t>
            </w:r>
            <w:r w:rsidRPr="00986BDF">
              <w:rPr>
                <w:b/>
                <w:bCs/>
              </w:rPr>
              <w:t xml:space="preserve">he laboratory should terminate the analysis, correct the problem, </w:t>
            </w:r>
            <w:r w:rsidRPr="00986BDF">
              <w:rPr>
                <w:b/>
                <w:bCs/>
              </w:rPr>
              <w:lastRenderedPageBreak/>
              <w:t>and the samples should be re-digested and re-analyzed. If still unacceptable, then all samples after the last acceptable method blank must be re-prepared and reanalyzed, along with all other appropriate analysis batch QC samples.</w:t>
            </w:r>
            <w:r>
              <w:rPr>
                <w:b/>
                <w:bCs/>
              </w:rPr>
              <w:t xml:space="preserve"> </w:t>
            </w:r>
          </w:p>
          <w:p w14:paraId="1620F69E" w14:textId="77777777" w:rsidR="00F825B5" w:rsidRPr="00922622" w:rsidRDefault="00F825B5" w:rsidP="00884CA6"/>
          <w:p w14:paraId="09A1BC7B" w14:textId="0AEA348A" w:rsidR="00F825B5" w:rsidRPr="00656CEA" w:rsidRDefault="00F825B5" w:rsidP="00884CA6">
            <w:pPr>
              <w:rPr>
                <w:i/>
              </w:rPr>
            </w:pPr>
            <w:r w:rsidRPr="00E05A61">
              <w:rPr>
                <w:i/>
                <w:iCs/>
              </w:rPr>
              <w:t xml:space="preserve">Action: </w:t>
            </w:r>
            <w:r>
              <w:rPr>
                <w:i/>
                <w:iCs/>
              </w:rPr>
              <w:t>Refer to Table 10-</w:t>
            </w:r>
            <w:r w:rsidR="1083BFC4" w:rsidRPr="5324AA50">
              <w:rPr>
                <w:i/>
                <w:iCs/>
              </w:rPr>
              <w:t>3</w:t>
            </w:r>
            <w:r>
              <w:rPr>
                <w:i/>
                <w:iCs/>
              </w:rPr>
              <w:t xml:space="preserve"> below to d</w:t>
            </w:r>
            <w:r w:rsidRPr="00E05A61">
              <w:rPr>
                <w:i/>
                <w:iCs/>
              </w:rPr>
              <w:t xml:space="preserve">etermine whether data needs to be qualified. </w:t>
            </w:r>
            <w:r w:rsidRPr="00656CEA" w:rsidDel="00862849">
              <w:rPr>
                <w:i/>
              </w:rPr>
              <w:t xml:space="preserve">If </w:t>
            </w:r>
            <w:r>
              <w:rPr>
                <w:i/>
                <w:iCs/>
              </w:rPr>
              <w:t>&gt;</w:t>
            </w:r>
            <w:r w:rsidRPr="00656CEA">
              <w:rPr>
                <w:i/>
                <w:iCs/>
              </w:rPr>
              <w:t>1</w:t>
            </w:r>
            <w:r>
              <w:rPr>
                <w:i/>
                <w:iCs/>
              </w:rPr>
              <w:t>15</w:t>
            </w:r>
            <w:r w:rsidRPr="00656CEA" w:rsidDel="00862849">
              <w:rPr>
                <w:i/>
              </w:rPr>
              <w:t xml:space="preserve">%, qualify all </w:t>
            </w:r>
            <w:r>
              <w:rPr>
                <w:i/>
                <w:iCs/>
              </w:rPr>
              <w:t>detect</w:t>
            </w:r>
            <w:r w:rsidRPr="00656CEA">
              <w:rPr>
                <w:i/>
                <w:iCs/>
              </w:rPr>
              <w:t xml:space="preserve"> </w:t>
            </w:r>
            <w:r w:rsidRPr="00656CEA" w:rsidDel="00862849">
              <w:rPr>
                <w:i/>
              </w:rPr>
              <w:t xml:space="preserve">data as “J+”. </w:t>
            </w:r>
            <w:r w:rsidRPr="006408EF" w:rsidDel="00862849">
              <w:rPr>
                <w:i/>
              </w:rPr>
              <w:t xml:space="preserve"> If &lt;</w:t>
            </w:r>
            <w:r>
              <w:rPr>
                <w:i/>
                <w:iCs/>
              </w:rPr>
              <w:t>85</w:t>
            </w:r>
            <w:r w:rsidRPr="006408EF" w:rsidDel="00862849">
              <w:rPr>
                <w:i/>
              </w:rPr>
              <w:t xml:space="preserve">%, qualify </w:t>
            </w:r>
            <w:r>
              <w:rPr>
                <w:i/>
                <w:iCs/>
              </w:rPr>
              <w:t xml:space="preserve">detect data as “J-“ </w:t>
            </w:r>
            <w:r w:rsidRPr="007C53EA" w:rsidDel="00862849">
              <w:rPr>
                <w:i/>
              </w:rPr>
              <w:t>and non-detect data as “UJ”.</w:t>
            </w:r>
          </w:p>
        </w:tc>
        <w:tc>
          <w:tcPr>
            <w:tcW w:w="3060" w:type="dxa"/>
          </w:tcPr>
          <w:p w14:paraId="1CC86D30" w14:textId="77777777" w:rsidR="00F825B5" w:rsidRPr="00582727" w:rsidRDefault="00F825B5" w:rsidP="00884CA6">
            <w:pPr>
              <w:rPr>
                <w:b/>
                <w:bCs/>
              </w:rPr>
            </w:pPr>
            <w:r w:rsidRPr="00582727">
              <w:rPr>
                <w:b/>
                <w:bCs/>
              </w:rPr>
              <w:lastRenderedPageBreak/>
              <w:t>Indicate yes or no:</w:t>
            </w:r>
          </w:p>
          <w:p w14:paraId="50118E3F" w14:textId="77777777" w:rsidR="00F825B5" w:rsidRDefault="00F825B5" w:rsidP="00884CA6"/>
          <w:p w14:paraId="4C8AEF7C" w14:textId="77777777" w:rsidR="00F825B5" w:rsidRDefault="00F825B5" w:rsidP="00884CA6">
            <w:r w:rsidRPr="00582727">
              <w:rPr>
                <w:b/>
                <w:bCs/>
              </w:rPr>
              <w:t>Summarize any actions taken:</w:t>
            </w:r>
          </w:p>
        </w:tc>
      </w:tr>
      <w:tr w:rsidR="00F825B5" w14:paraId="66C0F462" w14:textId="77777777" w:rsidTr="00884CA6">
        <w:tc>
          <w:tcPr>
            <w:tcW w:w="6295" w:type="dxa"/>
            <w:shd w:val="clear" w:color="auto" w:fill="D9D9D9" w:themeFill="background1" w:themeFillShade="D9"/>
          </w:tcPr>
          <w:p w14:paraId="1FBDCD60" w14:textId="61D0FBC5" w:rsidR="00F825B5" w:rsidRDefault="00F825B5" w:rsidP="00884CA6">
            <w:pPr>
              <w:rPr>
                <w:i/>
                <w:iCs/>
              </w:rPr>
            </w:pPr>
            <w:r>
              <w:t>10</w:t>
            </w:r>
            <w:r w:rsidRPr="00621B36">
              <w:t>.</w:t>
            </w:r>
            <w:r>
              <w:t>3</w:t>
            </w:r>
            <w:r w:rsidRPr="00621B36">
              <w:t>.3</w:t>
            </w:r>
            <w:r>
              <w:tab/>
            </w:r>
            <w:r w:rsidRPr="00621B36">
              <w:t>Verify the calculations for at least one %R.</w:t>
            </w:r>
          </w:p>
          <w:p w14:paraId="4F7CA72D" w14:textId="77777777" w:rsidR="00F825B5" w:rsidRPr="00621B36" w:rsidRDefault="00F825B5" w:rsidP="00884CA6">
            <w:pPr>
              <w:rPr>
                <w:rFonts w:eastAsiaTheme="minorEastAsia"/>
                <w:i/>
              </w:rPr>
            </w:pPr>
            <m:oMathPara>
              <m:oMath>
                <m:r>
                  <w:rPr>
                    <w:rFonts w:ascii="Cambria Math" w:hAnsi="Cambria Math"/>
                  </w:rPr>
                  <m:t xml:space="preserve">%R = </m:t>
                </m:r>
                <m:d>
                  <m:dPr>
                    <m:ctrlPr>
                      <w:rPr>
                        <w:rFonts w:ascii="Cambria Math" w:hAnsi="Cambria Math"/>
                        <w:i/>
                      </w:rPr>
                    </m:ctrlPr>
                  </m:dPr>
                  <m:e>
                    <m:f>
                      <m:fPr>
                        <m:ctrlPr>
                          <w:rPr>
                            <w:rFonts w:ascii="Cambria Math" w:hAnsi="Cambria Math"/>
                            <w:i/>
                          </w:rPr>
                        </m:ctrlPr>
                      </m:fPr>
                      <m:num>
                        <m:r>
                          <w:rPr>
                            <w:rFonts w:ascii="Cambria Math" w:hAnsi="Cambria Math"/>
                          </w:rPr>
                          <m:t xml:space="preserve">Measured Concentration </m:t>
                        </m:r>
                      </m:num>
                      <m:den>
                        <m:r>
                          <w:rPr>
                            <w:rFonts w:ascii="Cambria Math" w:hAnsi="Cambria Math"/>
                          </w:rPr>
                          <m:t>Spiked Amount</m:t>
                        </m:r>
                      </m:den>
                    </m:f>
                  </m:e>
                </m:d>
                <m:r>
                  <w:rPr>
                    <w:rFonts w:ascii="Cambria Math" w:hAnsi="Cambria Math"/>
                  </w:rPr>
                  <m:t xml:space="preserve"> ×100</m:t>
                </m:r>
              </m:oMath>
            </m:oMathPara>
          </w:p>
          <w:p w14:paraId="7C26583D" w14:textId="77777777" w:rsidR="00F825B5" w:rsidRPr="00621B36" w:rsidRDefault="00F825B5" w:rsidP="00884CA6">
            <w:pPr>
              <w:rPr>
                <w:rFonts w:eastAsiaTheme="minorEastAsia"/>
                <w:i/>
              </w:rPr>
            </w:pPr>
          </w:p>
          <w:p w14:paraId="661415C4" w14:textId="77777777" w:rsidR="00F825B5" w:rsidRPr="00063828" w:rsidRDefault="00F825B5" w:rsidP="00884CA6">
            <w:pPr>
              <w:rPr>
                <w:i/>
                <w:iCs/>
              </w:rPr>
            </w:pPr>
            <w:r w:rsidRPr="007148D5">
              <w:rPr>
                <w:i/>
                <w:iCs/>
              </w:rPr>
              <w:t>Action:  If the %R is not calculated correctly, verify the other %R calculations and/or contact the lab for re-submittal. If the re-calculated %R values fall within the QC limits, the validator should use professional judgment to determine if the lab should be contacted for re-submittal or if the data should be flagged.</w:t>
            </w:r>
          </w:p>
        </w:tc>
        <w:tc>
          <w:tcPr>
            <w:tcW w:w="3060" w:type="dxa"/>
          </w:tcPr>
          <w:p w14:paraId="2B93F8EA" w14:textId="77777777" w:rsidR="00F825B5" w:rsidRPr="00582727" w:rsidRDefault="00F825B5" w:rsidP="00884CA6">
            <w:pPr>
              <w:rPr>
                <w:b/>
                <w:bCs/>
              </w:rPr>
            </w:pPr>
            <w:r>
              <w:rPr>
                <w:b/>
                <w:bCs/>
              </w:rPr>
              <w:t>Show results of verified %R calculation:</w:t>
            </w:r>
          </w:p>
        </w:tc>
      </w:tr>
    </w:tbl>
    <w:p w14:paraId="2F1F26AC" w14:textId="1A81ED0C" w:rsidR="00F825B5" w:rsidRDefault="00F825B5" w:rsidP="00E1175A">
      <w:pPr>
        <w:spacing w:after="0" w:line="240" w:lineRule="auto"/>
      </w:pPr>
    </w:p>
    <w:tbl>
      <w:tblPr>
        <w:tblW w:w="9360" w:type="dxa"/>
        <w:tblInd w:w="-5" w:type="dxa"/>
        <w:tblLayout w:type="fixed"/>
        <w:tblCellMar>
          <w:left w:w="0" w:type="dxa"/>
          <w:right w:w="0" w:type="dxa"/>
        </w:tblCellMar>
        <w:tblLook w:val="0000" w:firstRow="0" w:lastRow="0" w:firstColumn="0" w:lastColumn="0" w:noHBand="0" w:noVBand="0"/>
      </w:tblPr>
      <w:tblGrid>
        <w:gridCol w:w="5500"/>
        <w:gridCol w:w="1890"/>
        <w:gridCol w:w="1970"/>
      </w:tblGrid>
      <w:tr w:rsidR="00F825B5" w:rsidRPr="0065084B" w14:paraId="2E1FC19A" w14:textId="77777777" w:rsidTr="00884CA6">
        <w:trPr>
          <w:trHeight w:val="371"/>
        </w:trPr>
        <w:tc>
          <w:tcPr>
            <w:tcW w:w="9360"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bottom"/>
          </w:tcPr>
          <w:p w14:paraId="24CB80FA" w14:textId="22129A05" w:rsidR="00F825B5" w:rsidRPr="00DC50F0" w:rsidRDefault="00F825B5" w:rsidP="00884CA6">
            <w:pPr>
              <w:kinsoku w:val="0"/>
              <w:overflowPunct w:val="0"/>
              <w:autoSpaceDE w:val="0"/>
              <w:autoSpaceDN w:val="0"/>
              <w:adjustRightInd w:val="0"/>
              <w:spacing w:after="0" w:line="240" w:lineRule="auto"/>
              <w:ind w:left="1656" w:right="1526"/>
              <w:jc w:val="center"/>
              <w:rPr>
                <w:rFonts w:ascii="Calibri" w:hAnsi="Calibri" w:cs="Calibri"/>
                <w:b/>
                <w:bCs/>
                <w:spacing w:val="-2"/>
              </w:rPr>
            </w:pPr>
            <w:r w:rsidRPr="00DC50F0">
              <w:rPr>
                <w:rFonts w:ascii="Calibri" w:hAnsi="Calibri" w:cs="Calibri"/>
                <w:b/>
                <w:bCs/>
                <w:sz w:val="24"/>
                <w:szCs w:val="24"/>
              </w:rPr>
              <w:t xml:space="preserve">Table </w:t>
            </w:r>
            <w:r>
              <w:rPr>
                <w:rFonts w:ascii="Calibri" w:hAnsi="Calibri" w:cs="Calibri"/>
                <w:b/>
                <w:bCs/>
                <w:sz w:val="24"/>
                <w:szCs w:val="24"/>
              </w:rPr>
              <w:t>10-3</w:t>
            </w:r>
            <w:r w:rsidRPr="00DC50F0">
              <w:rPr>
                <w:rFonts w:ascii="Calibri" w:hAnsi="Calibri" w:cs="Calibri"/>
                <w:b/>
                <w:bCs/>
                <w:sz w:val="24"/>
                <w:szCs w:val="24"/>
              </w:rPr>
              <w:t>: Lab Control Sample Actions</w:t>
            </w:r>
          </w:p>
        </w:tc>
      </w:tr>
      <w:tr w:rsidR="00F825B5" w:rsidRPr="0065084B" w14:paraId="68305E25" w14:textId="77777777" w:rsidTr="00884CA6">
        <w:trPr>
          <w:trHeight w:val="371"/>
        </w:trPr>
        <w:tc>
          <w:tcPr>
            <w:tcW w:w="550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1352EF10" w14:textId="77777777" w:rsidR="00F825B5" w:rsidRPr="00DC50F0" w:rsidRDefault="00F825B5" w:rsidP="00884CA6">
            <w:pPr>
              <w:kinsoku w:val="0"/>
              <w:overflowPunct w:val="0"/>
              <w:autoSpaceDE w:val="0"/>
              <w:autoSpaceDN w:val="0"/>
              <w:adjustRightInd w:val="0"/>
              <w:spacing w:after="0" w:line="240" w:lineRule="auto"/>
              <w:jc w:val="center"/>
              <w:rPr>
                <w:rFonts w:ascii="Calibri" w:hAnsi="Calibri" w:cs="Calibri"/>
                <w:b/>
                <w:bCs/>
                <w:sz w:val="24"/>
                <w:szCs w:val="24"/>
              </w:rPr>
            </w:pPr>
            <w:r w:rsidRPr="00DC50F0">
              <w:rPr>
                <w:rFonts w:ascii="Calibri" w:hAnsi="Calibri" w:cs="Calibri"/>
                <w:b/>
                <w:bCs/>
                <w:sz w:val="24"/>
                <w:szCs w:val="24"/>
              </w:rPr>
              <w:t>Criteria</w:t>
            </w:r>
          </w:p>
        </w:tc>
        <w:tc>
          <w:tcPr>
            <w:tcW w:w="3860"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FAA028A" w14:textId="77777777" w:rsidR="00F825B5" w:rsidRPr="00DC50F0" w:rsidRDefault="00F825B5" w:rsidP="00884CA6">
            <w:pPr>
              <w:kinsoku w:val="0"/>
              <w:overflowPunct w:val="0"/>
              <w:autoSpaceDE w:val="0"/>
              <w:autoSpaceDN w:val="0"/>
              <w:adjustRightInd w:val="0"/>
              <w:spacing w:before="58" w:after="0" w:line="240" w:lineRule="auto"/>
              <w:ind w:left="1657" w:right="1530"/>
              <w:jc w:val="center"/>
              <w:rPr>
                <w:rFonts w:ascii="Calibri" w:hAnsi="Calibri" w:cs="Calibri"/>
                <w:b/>
                <w:bCs/>
                <w:spacing w:val="-2"/>
              </w:rPr>
            </w:pPr>
            <w:r w:rsidRPr="00DC50F0">
              <w:rPr>
                <w:rFonts w:ascii="Calibri" w:hAnsi="Calibri" w:cs="Calibri"/>
                <w:b/>
                <w:bCs/>
                <w:spacing w:val="-2"/>
              </w:rPr>
              <w:t>Action</w:t>
            </w:r>
          </w:p>
        </w:tc>
      </w:tr>
      <w:tr w:rsidR="00F825B5" w:rsidRPr="0065084B" w14:paraId="6D6DFCED" w14:textId="77777777" w:rsidTr="00884CA6">
        <w:trPr>
          <w:trHeight w:val="372"/>
        </w:trPr>
        <w:tc>
          <w:tcPr>
            <w:tcW w:w="5500" w:type="dxa"/>
            <w:vMerge/>
            <w:tcBorders>
              <w:top w:val="nil"/>
              <w:left w:val="single" w:sz="4" w:space="0" w:color="000000"/>
              <w:bottom w:val="single" w:sz="4" w:space="0" w:color="000000"/>
              <w:right w:val="single" w:sz="4" w:space="0" w:color="000000"/>
            </w:tcBorders>
            <w:shd w:val="clear" w:color="auto" w:fill="D9D9D9" w:themeFill="background1" w:themeFillShade="D9"/>
          </w:tcPr>
          <w:p w14:paraId="22988E94" w14:textId="77777777" w:rsidR="00F825B5" w:rsidRPr="00DC50F0" w:rsidRDefault="00F825B5" w:rsidP="00884CA6">
            <w:pPr>
              <w:kinsoku w:val="0"/>
              <w:overflowPunct w:val="0"/>
              <w:autoSpaceDE w:val="0"/>
              <w:autoSpaceDN w:val="0"/>
              <w:adjustRightInd w:val="0"/>
              <w:spacing w:after="0" w:line="243" w:lineRule="exact"/>
              <w:ind w:left="3329" w:right="3329"/>
              <w:jc w:val="center"/>
              <w:rPr>
                <w:rFonts w:ascii="Calibri" w:hAnsi="Calibri" w:cs="Calibri"/>
                <w:b/>
                <w:bCs/>
                <w:sz w:val="2"/>
                <w:szCs w:val="2"/>
              </w:rPr>
            </w:pPr>
          </w:p>
        </w:tc>
        <w:tc>
          <w:tcPr>
            <w:tcW w:w="1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A29523" w14:textId="77777777" w:rsidR="00F825B5" w:rsidRPr="00DC50F0" w:rsidRDefault="00F825B5" w:rsidP="00884CA6">
            <w:pPr>
              <w:kinsoku w:val="0"/>
              <w:overflowPunct w:val="0"/>
              <w:autoSpaceDE w:val="0"/>
              <w:autoSpaceDN w:val="0"/>
              <w:adjustRightInd w:val="0"/>
              <w:spacing w:after="0" w:line="240" w:lineRule="auto"/>
              <w:ind w:left="203" w:right="197"/>
              <w:jc w:val="center"/>
              <w:rPr>
                <w:rFonts w:ascii="Calibri" w:hAnsi="Calibri" w:cs="Calibri"/>
                <w:b/>
                <w:bCs/>
                <w:spacing w:val="-2"/>
              </w:rPr>
            </w:pPr>
            <w:r w:rsidRPr="00DC50F0">
              <w:rPr>
                <w:rFonts w:ascii="Calibri" w:hAnsi="Calibri" w:cs="Calibri"/>
                <w:b/>
                <w:bCs/>
                <w:spacing w:val="-2"/>
              </w:rPr>
              <w:t>Detect</w:t>
            </w:r>
          </w:p>
        </w:tc>
        <w:tc>
          <w:tcPr>
            <w:tcW w:w="197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5404398" w14:textId="77777777" w:rsidR="00F825B5" w:rsidRPr="00DC50F0" w:rsidRDefault="00F825B5" w:rsidP="00884CA6">
            <w:pPr>
              <w:kinsoku w:val="0"/>
              <w:overflowPunct w:val="0"/>
              <w:autoSpaceDE w:val="0"/>
              <w:autoSpaceDN w:val="0"/>
              <w:adjustRightInd w:val="0"/>
              <w:spacing w:after="0" w:line="240" w:lineRule="auto"/>
              <w:ind w:left="300" w:right="172"/>
              <w:jc w:val="center"/>
              <w:rPr>
                <w:rFonts w:ascii="Calibri" w:hAnsi="Calibri" w:cs="Calibri"/>
                <w:b/>
                <w:bCs/>
                <w:spacing w:val="-2"/>
              </w:rPr>
            </w:pPr>
            <w:r w:rsidRPr="00DC50F0">
              <w:rPr>
                <w:rFonts w:ascii="Calibri" w:hAnsi="Calibri" w:cs="Calibri"/>
                <w:b/>
                <w:bCs/>
                <w:spacing w:val="-2"/>
              </w:rPr>
              <w:t>Non-detect</w:t>
            </w:r>
          </w:p>
        </w:tc>
      </w:tr>
      <w:tr w:rsidR="00F825B5" w:rsidRPr="0065084B" w14:paraId="4466F4D2" w14:textId="77777777" w:rsidTr="00884CA6">
        <w:trPr>
          <w:trHeight w:val="387"/>
        </w:trPr>
        <w:tc>
          <w:tcPr>
            <w:tcW w:w="5500" w:type="dxa"/>
            <w:tcBorders>
              <w:top w:val="single" w:sz="4" w:space="0" w:color="000000"/>
              <w:left w:val="single" w:sz="4" w:space="0" w:color="000000"/>
              <w:bottom w:val="single" w:sz="4" w:space="0" w:color="000000"/>
              <w:right w:val="single" w:sz="4" w:space="0" w:color="000000"/>
            </w:tcBorders>
          </w:tcPr>
          <w:p w14:paraId="2F8D00B7" w14:textId="77777777" w:rsidR="00F825B5" w:rsidRPr="00DC50F0" w:rsidRDefault="00F825B5" w:rsidP="00884CA6">
            <w:pPr>
              <w:kinsoku w:val="0"/>
              <w:overflowPunct w:val="0"/>
              <w:autoSpaceDE w:val="0"/>
              <w:autoSpaceDN w:val="0"/>
              <w:adjustRightInd w:val="0"/>
              <w:spacing w:before="65" w:after="0" w:line="240" w:lineRule="auto"/>
              <w:ind w:left="100"/>
              <w:rPr>
                <w:rFonts w:ascii="Calibri" w:hAnsi="Calibri" w:cs="Calibri"/>
                <w:i/>
                <w:iCs/>
              </w:rPr>
            </w:pPr>
            <w:r w:rsidRPr="00DC50F0">
              <w:rPr>
                <w:rFonts w:ascii="Calibri" w:hAnsi="Calibri" w:cs="Calibri"/>
              </w:rPr>
              <w:t xml:space="preserve">LCS not prepared with samples </w:t>
            </w:r>
          </w:p>
        </w:tc>
        <w:tc>
          <w:tcPr>
            <w:tcW w:w="1890" w:type="dxa"/>
            <w:tcBorders>
              <w:top w:val="single" w:sz="4" w:space="0" w:color="000000"/>
              <w:left w:val="single" w:sz="4" w:space="0" w:color="000000"/>
              <w:bottom w:val="single" w:sz="4" w:space="0" w:color="000000"/>
              <w:right w:val="single" w:sz="4" w:space="0" w:color="000000"/>
            </w:tcBorders>
          </w:tcPr>
          <w:p w14:paraId="4F61469E" w14:textId="77777777" w:rsidR="00F825B5" w:rsidRPr="00DC50F0" w:rsidRDefault="00F825B5" w:rsidP="00884CA6">
            <w:pPr>
              <w:kinsoku w:val="0"/>
              <w:overflowPunct w:val="0"/>
              <w:autoSpaceDE w:val="0"/>
              <w:autoSpaceDN w:val="0"/>
              <w:adjustRightInd w:val="0"/>
              <w:spacing w:before="65" w:after="0" w:line="240" w:lineRule="auto"/>
              <w:ind w:left="7"/>
              <w:jc w:val="center"/>
              <w:rPr>
                <w:rFonts w:ascii="Calibri" w:hAnsi="Calibri" w:cs="Calibri"/>
                <w:w w:val="99"/>
              </w:rPr>
            </w:pPr>
            <w:r w:rsidRPr="00DC50F0">
              <w:rPr>
                <w:rFonts w:ascii="Calibri" w:hAnsi="Calibri" w:cs="Calibri"/>
                <w:w w:val="99"/>
              </w:rPr>
              <w:t>J or R</w:t>
            </w:r>
          </w:p>
        </w:tc>
        <w:tc>
          <w:tcPr>
            <w:tcW w:w="1970" w:type="dxa"/>
            <w:tcBorders>
              <w:top w:val="single" w:sz="4" w:space="0" w:color="000000"/>
              <w:left w:val="single" w:sz="4" w:space="0" w:color="000000"/>
              <w:bottom w:val="single" w:sz="4" w:space="0" w:color="000000"/>
              <w:right w:val="single" w:sz="4" w:space="0" w:color="auto"/>
            </w:tcBorders>
          </w:tcPr>
          <w:p w14:paraId="61DF08F1" w14:textId="77777777" w:rsidR="00F825B5" w:rsidRPr="00DC50F0" w:rsidRDefault="00F825B5" w:rsidP="00884CA6">
            <w:pPr>
              <w:kinsoku w:val="0"/>
              <w:overflowPunct w:val="0"/>
              <w:autoSpaceDE w:val="0"/>
              <w:autoSpaceDN w:val="0"/>
              <w:adjustRightInd w:val="0"/>
              <w:spacing w:before="65" w:after="0" w:line="240" w:lineRule="auto"/>
              <w:ind w:left="299" w:right="172"/>
              <w:jc w:val="center"/>
              <w:rPr>
                <w:rFonts w:ascii="Calibri" w:hAnsi="Calibri" w:cs="Calibri"/>
                <w:spacing w:val="-6"/>
              </w:rPr>
            </w:pPr>
            <w:r w:rsidRPr="00DC50F0">
              <w:rPr>
                <w:rFonts w:ascii="Calibri" w:hAnsi="Calibri" w:cs="Calibri"/>
                <w:spacing w:val="-6"/>
              </w:rPr>
              <w:t>UJ or R</w:t>
            </w:r>
          </w:p>
        </w:tc>
      </w:tr>
      <w:tr w:rsidR="00F825B5" w:rsidRPr="0065084B" w14:paraId="426286DF" w14:textId="77777777" w:rsidTr="00884CA6">
        <w:trPr>
          <w:trHeight w:val="388"/>
        </w:trPr>
        <w:tc>
          <w:tcPr>
            <w:tcW w:w="5500" w:type="dxa"/>
            <w:tcBorders>
              <w:top w:val="single" w:sz="4" w:space="0" w:color="000000"/>
              <w:left w:val="single" w:sz="4" w:space="0" w:color="000000"/>
              <w:bottom w:val="single" w:sz="4" w:space="0" w:color="000000"/>
              <w:right w:val="single" w:sz="4" w:space="0" w:color="000000"/>
            </w:tcBorders>
          </w:tcPr>
          <w:p w14:paraId="3CCAEC03" w14:textId="77777777" w:rsidR="00F825B5" w:rsidRPr="00DC50F0" w:rsidRDefault="00F825B5" w:rsidP="00884CA6">
            <w:pPr>
              <w:kinsoku w:val="0"/>
              <w:overflowPunct w:val="0"/>
              <w:autoSpaceDE w:val="0"/>
              <w:autoSpaceDN w:val="0"/>
              <w:adjustRightInd w:val="0"/>
              <w:spacing w:before="67" w:after="0" w:line="240" w:lineRule="auto"/>
              <w:ind w:left="100"/>
              <w:rPr>
                <w:rFonts w:ascii="Calibri" w:hAnsi="Calibri" w:cs="Calibri"/>
              </w:rPr>
            </w:pPr>
            <w:r w:rsidRPr="00DC50F0">
              <w:rPr>
                <w:rFonts w:ascii="Calibri" w:hAnsi="Calibri" w:cs="Calibri"/>
              </w:rPr>
              <w:t>LCS not prepared at specified concentrations</w:t>
            </w:r>
          </w:p>
        </w:tc>
        <w:tc>
          <w:tcPr>
            <w:tcW w:w="1890" w:type="dxa"/>
            <w:tcBorders>
              <w:top w:val="single" w:sz="4" w:space="0" w:color="000000"/>
              <w:left w:val="single" w:sz="4" w:space="0" w:color="000000"/>
              <w:bottom w:val="single" w:sz="4" w:space="0" w:color="000000"/>
              <w:right w:val="single" w:sz="4" w:space="0" w:color="000000"/>
            </w:tcBorders>
          </w:tcPr>
          <w:p w14:paraId="4FCD131E" w14:textId="77777777" w:rsidR="00F825B5" w:rsidRPr="00DC50F0" w:rsidRDefault="00F825B5" w:rsidP="00884CA6">
            <w:pPr>
              <w:kinsoku w:val="0"/>
              <w:overflowPunct w:val="0"/>
              <w:autoSpaceDE w:val="0"/>
              <w:autoSpaceDN w:val="0"/>
              <w:adjustRightInd w:val="0"/>
              <w:spacing w:before="67" w:after="0" w:line="240" w:lineRule="auto"/>
              <w:ind w:left="7"/>
              <w:jc w:val="center"/>
              <w:rPr>
                <w:rFonts w:ascii="Calibri" w:hAnsi="Calibri" w:cs="Calibri"/>
                <w:w w:val="99"/>
              </w:rPr>
            </w:pPr>
            <w:r w:rsidRPr="00DC50F0">
              <w:rPr>
                <w:rFonts w:ascii="Calibri" w:hAnsi="Calibri" w:cs="Calibri"/>
                <w:w w:val="99"/>
              </w:rPr>
              <w:t>J</w:t>
            </w:r>
          </w:p>
        </w:tc>
        <w:tc>
          <w:tcPr>
            <w:tcW w:w="1970" w:type="dxa"/>
            <w:tcBorders>
              <w:top w:val="single" w:sz="4" w:space="0" w:color="000000"/>
              <w:left w:val="single" w:sz="4" w:space="0" w:color="000000"/>
              <w:bottom w:val="single" w:sz="4" w:space="0" w:color="000000"/>
              <w:right w:val="single" w:sz="4" w:space="0" w:color="auto"/>
            </w:tcBorders>
          </w:tcPr>
          <w:p w14:paraId="0963528C" w14:textId="77777777" w:rsidR="00F825B5" w:rsidRPr="00DC50F0" w:rsidRDefault="00F825B5" w:rsidP="00884CA6">
            <w:pPr>
              <w:kinsoku w:val="0"/>
              <w:overflowPunct w:val="0"/>
              <w:autoSpaceDE w:val="0"/>
              <w:autoSpaceDN w:val="0"/>
              <w:adjustRightInd w:val="0"/>
              <w:spacing w:before="67" w:after="0" w:line="240" w:lineRule="auto"/>
              <w:ind w:left="299" w:right="172"/>
              <w:jc w:val="center"/>
              <w:rPr>
                <w:rFonts w:ascii="Calibri" w:hAnsi="Calibri" w:cs="Calibri"/>
                <w:spacing w:val="-6"/>
              </w:rPr>
            </w:pPr>
            <w:r w:rsidRPr="00DC50F0">
              <w:rPr>
                <w:rFonts w:ascii="Calibri" w:hAnsi="Calibri" w:cs="Calibri"/>
                <w:spacing w:val="-6"/>
              </w:rPr>
              <w:t>UJ</w:t>
            </w:r>
          </w:p>
        </w:tc>
      </w:tr>
      <w:tr w:rsidR="00F825B5" w:rsidRPr="0065084B" w14:paraId="3CC65C7F" w14:textId="77777777" w:rsidTr="00884CA6">
        <w:trPr>
          <w:trHeight w:val="388"/>
        </w:trPr>
        <w:tc>
          <w:tcPr>
            <w:tcW w:w="5500" w:type="dxa"/>
            <w:tcBorders>
              <w:top w:val="single" w:sz="4" w:space="0" w:color="000000"/>
              <w:left w:val="single" w:sz="4" w:space="0" w:color="000000"/>
              <w:bottom w:val="single" w:sz="4" w:space="0" w:color="000000"/>
              <w:right w:val="single" w:sz="4" w:space="0" w:color="000000"/>
            </w:tcBorders>
          </w:tcPr>
          <w:p w14:paraId="58DCF3D3" w14:textId="77777777" w:rsidR="00F825B5" w:rsidRPr="00DC50F0" w:rsidRDefault="00F825B5" w:rsidP="00884CA6">
            <w:pPr>
              <w:kinsoku w:val="0"/>
              <w:overflowPunct w:val="0"/>
              <w:autoSpaceDE w:val="0"/>
              <w:autoSpaceDN w:val="0"/>
              <w:adjustRightInd w:val="0"/>
              <w:spacing w:before="67" w:after="0" w:line="240" w:lineRule="auto"/>
              <w:ind w:left="100"/>
              <w:rPr>
                <w:rFonts w:ascii="Calibri" w:hAnsi="Calibri" w:cs="Calibri"/>
              </w:rPr>
            </w:pPr>
            <w:r w:rsidRPr="00DC50F0">
              <w:rPr>
                <w:rFonts w:ascii="Calibri" w:hAnsi="Calibri" w:cs="Calibri"/>
              </w:rPr>
              <w:t>Aqueous/water and soil/sediment %R &lt; 50%</w:t>
            </w:r>
          </w:p>
        </w:tc>
        <w:tc>
          <w:tcPr>
            <w:tcW w:w="1890" w:type="dxa"/>
            <w:tcBorders>
              <w:top w:val="single" w:sz="4" w:space="0" w:color="000000"/>
              <w:left w:val="single" w:sz="4" w:space="0" w:color="000000"/>
              <w:bottom w:val="single" w:sz="4" w:space="0" w:color="000000"/>
              <w:right w:val="single" w:sz="4" w:space="0" w:color="000000"/>
            </w:tcBorders>
          </w:tcPr>
          <w:p w14:paraId="2F82C530" w14:textId="77777777" w:rsidR="00F825B5" w:rsidRPr="00DC50F0" w:rsidRDefault="00F825B5" w:rsidP="00884CA6">
            <w:pPr>
              <w:kinsoku w:val="0"/>
              <w:overflowPunct w:val="0"/>
              <w:autoSpaceDE w:val="0"/>
              <w:autoSpaceDN w:val="0"/>
              <w:adjustRightInd w:val="0"/>
              <w:spacing w:before="67" w:after="0" w:line="240" w:lineRule="auto"/>
              <w:ind w:left="205" w:right="197"/>
              <w:jc w:val="center"/>
              <w:rPr>
                <w:rFonts w:ascii="Calibri" w:hAnsi="Calibri" w:cs="Calibri"/>
                <w:spacing w:val="-6"/>
              </w:rPr>
            </w:pPr>
            <w:r w:rsidRPr="00DC50F0">
              <w:rPr>
                <w:rFonts w:ascii="Calibri" w:hAnsi="Calibri" w:cs="Calibri"/>
                <w:spacing w:val="-6"/>
              </w:rPr>
              <w:t>J-</w:t>
            </w:r>
          </w:p>
        </w:tc>
        <w:tc>
          <w:tcPr>
            <w:tcW w:w="1970" w:type="dxa"/>
            <w:tcBorders>
              <w:top w:val="single" w:sz="4" w:space="0" w:color="000000"/>
              <w:left w:val="single" w:sz="4" w:space="0" w:color="000000"/>
              <w:bottom w:val="single" w:sz="4" w:space="0" w:color="000000"/>
              <w:right w:val="single" w:sz="4" w:space="0" w:color="auto"/>
            </w:tcBorders>
          </w:tcPr>
          <w:p w14:paraId="46D38C9E" w14:textId="77777777" w:rsidR="00F825B5" w:rsidRPr="00DC50F0" w:rsidRDefault="00F825B5" w:rsidP="00884CA6">
            <w:pPr>
              <w:kinsoku w:val="0"/>
              <w:overflowPunct w:val="0"/>
              <w:autoSpaceDE w:val="0"/>
              <w:autoSpaceDN w:val="0"/>
              <w:adjustRightInd w:val="0"/>
              <w:spacing w:before="67" w:after="0" w:line="240" w:lineRule="auto"/>
              <w:ind w:left="128"/>
              <w:jc w:val="center"/>
              <w:rPr>
                <w:rFonts w:ascii="Calibri" w:hAnsi="Calibri" w:cs="Calibri"/>
                <w:w w:val="99"/>
              </w:rPr>
            </w:pPr>
            <w:r w:rsidRPr="00DC50F0">
              <w:rPr>
                <w:rFonts w:ascii="Calibri" w:hAnsi="Calibri" w:cs="Calibri"/>
                <w:w w:val="99"/>
              </w:rPr>
              <w:t>R</w:t>
            </w:r>
          </w:p>
        </w:tc>
      </w:tr>
      <w:tr w:rsidR="00F825B5" w:rsidRPr="0065084B" w14:paraId="79CD2770" w14:textId="77777777" w:rsidTr="00884CA6">
        <w:trPr>
          <w:trHeight w:val="372"/>
        </w:trPr>
        <w:tc>
          <w:tcPr>
            <w:tcW w:w="5500" w:type="dxa"/>
            <w:tcBorders>
              <w:top w:val="single" w:sz="4" w:space="0" w:color="000000"/>
              <w:left w:val="single" w:sz="4" w:space="0" w:color="000000"/>
              <w:bottom w:val="single" w:sz="4" w:space="0" w:color="000000"/>
              <w:right w:val="single" w:sz="4" w:space="0" w:color="000000"/>
            </w:tcBorders>
          </w:tcPr>
          <w:p w14:paraId="20D73879" w14:textId="77777777" w:rsidR="00F825B5" w:rsidRPr="00DC50F0" w:rsidRDefault="00F825B5" w:rsidP="00884CA6">
            <w:pPr>
              <w:kinsoku w:val="0"/>
              <w:overflowPunct w:val="0"/>
              <w:autoSpaceDE w:val="0"/>
              <w:autoSpaceDN w:val="0"/>
              <w:adjustRightInd w:val="0"/>
              <w:spacing w:before="58" w:after="0" w:line="240" w:lineRule="auto"/>
              <w:ind w:left="100"/>
              <w:rPr>
                <w:rFonts w:ascii="Calibri" w:hAnsi="Calibri" w:cs="Calibri"/>
              </w:rPr>
            </w:pPr>
            <w:r w:rsidRPr="00DC50F0">
              <w:rPr>
                <w:rFonts w:ascii="Calibri" w:hAnsi="Calibri" w:cs="Calibri"/>
              </w:rPr>
              <w:t>Aqueous/water and soil/sediment %R 50-84%</w:t>
            </w:r>
          </w:p>
        </w:tc>
        <w:tc>
          <w:tcPr>
            <w:tcW w:w="1890" w:type="dxa"/>
            <w:tcBorders>
              <w:top w:val="single" w:sz="4" w:space="0" w:color="000000"/>
              <w:left w:val="single" w:sz="4" w:space="0" w:color="000000"/>
              <w:bottom w:val="single" w:sz="4" w:space="0" w:color="000000"/>
              <w:right w:val="single" w:sz="4" w:space="0" w:color="000000"/>
            </w:tcBorders>
          </w:tcPr>
          <w:p w14:paraId="7B9E469B" w14:textId="77777777" w:rsidR="00F825B5" w:rsidRPr="00DC50F0" w:rsidRDefault="00F825B5" w:rsidP="00884CA6">
            <w:pPr>
              <w:kinsoku w:val="0"/>
              <w:overflowPunct w:val="0"/>
              <w:autoSpaceDE w:val="0"/>
              <w:autoSpaceDN w:val="0"/>
              <w:adjustRightInd w:val="0"/>
              <w:spacing w:before="58" w:after="0" w:line="240" w:lineRule="auto"/>
              <w:ind w:left="206" w:right="197"/>
              <w:jc w:val="center"/>
              <w:rPr>
                <w:rFonts w:ascii="Calibri" w:hAnsi="Calibri" w:cs="Calibri"/>
                <w:spacing w:val="-6"/>
              </w:rPr>
            </w:pPr>
            <w:r w:rsidRPr="00DC50F0">
              <w:rPr>
                <w:rFonts w:ascii="Calibri" w:hAnsi="Calibri" w:cs="Calibri"/>
                <w:spacing w:val="-6"/>
              </w:rPr>
              <w:t>J-</w:t>
            </w:r>
          </w:p>
        </w:tc>
        <w:tc>
          <w:tcPr>
            <w:tcW w:w="1970" w:type="dxa"/>
            <w:tcBorders>
              <w:top w:val="single" w:sz="4" w:space="0" w:color="000000"/>
              <w:left w:val="single" w:sz="4" w:space="0" w:color="000000"/>
              <w:bottom w:val="single" w:sz="4" w:space="0" w:color="000000"/>
              <w:right w:val="single" w:sz="4" w:space="0" w:color="auto"/>
            </w:tcBorders>
          </w:tcPr>
          <w:p w14:paraId="0207A18C" w14:textId="77777777" w:rsidR="00F825B5" w:rsidRPr="00DC50F0" w:rsidRDefault="00F825B5" w:rsidP="00884CA6">
            <w:pPr>
              <w:kinsoku w:val="0"/>
              <w:overflowPunct w:val="0"/>
              <w:autoSpaceDE w:val="0"/>
              <w:autoSpaceDN w:val="0"/>
              <w:adjustRightInd w:val="0"/>
              <w:spacing w:before="58" w:after="0" w:line="240" w:lineRule="auto"/>
              <w:ind w:left="299" w:right="172"/>
              <w:jc w:val="center"/>
              <w:rPr>
                <w:rFonts w:ascii="Calibri" w:hAnsi="Calibri" w:cs="Calibri"/>
                <w:spacing w:val="-6"/>
              </w:rPr>
            </w:pPr>
            <w:r w:rsidRPr="00DC50F0">
              <w:rPr>
                <w:rFonts w:ascii="Calibri" w:hAnsi="Calibri" w:cs="Calibri"/>
                <w:spacing w:val="-6"/>
              </w:rPr>
              <w:t>UJ</w:t>
            </w:r>
          </w:p>
        </w:tc>
      </w:tr>
      <w:tr w:rsidR="00F825B5" w:rsidRPr="0065084B" w14:paraId="170FF10C" w14:textId="77777777" w:rsidTr="00884CA6">
        <w:trPr>
          <w:trHeight w:val="372"/>
        </w:trPr>
        <w:tc>
          <w:tcPr>
            <w:tcW w:w="5500" w:type="dxa"/>
            <w:tcBorders>
              <w:top w:val="single" w:sz="4" w:space="0" w:color="000000"/>
              <w:left w:val="single" w:sz="4" w:space="0" w:color="000000"/>
              <w:bottom w:val="single" w:sz="4" w:space="0" w:color="000000"/>
              <w:right w:val="single" w:sz="4" w:space="0" w:color="000000"/>
            </w:tcBorders>
          </w:tcPr>
          <w:p w14:paraId="4E6EDAA4" w14:textId="77777777" w:rsidR="00F825B5" w:rsidRPr="00DC50F0" w:rsidRDefault="00F825B5" w:rsidP="00884CA6">
            <w:pPr>
              <w:kinsoku w:val="0"/>
              <w:overflowPunct w:val="0"/>
              <w:autoSpaceDE w:val="0"/>
              <w:autoSpaceDN w:val="0"/>
              <w:adjustRightInd w:val="0"/>
              <w:spacing w:before="58" w:after="0" w:line="240" w:lineRule="auto"/>
              <w:ind w:left="100"/>
              <w:rPr>
                <w:rFonts w:ascii="Calibri" w:hAnsi="Calibri" w:cs="Calibri"/>
              </w:rPr>
            </w:pPr>
            <w:r w:rsidRPr="00DC50F0">
              <w:rPr>
                <w:rFonts w:ascii="Calibri" w:hAnsi="Calibri" w:cs="Calibri"/>
              </w:rPr>
              <w:t>Aqueous/water and soil/sediment %R 85-115%</w:t>
            </w:r>
          </w:p>
        </w:tc>
        <w:tc>
          <w:tcPr>
            <w:tcW w:w="1890" w:type="dxa"/>
            <w:tcBorders>
              <w:top w:val="single" w:sz="4" w:space="0" w:color="000000"/>
              <w:left w:val="single" w:sz="4" w:space="0" w:color="000000"/>
              <w:bottom w:val="single" w:sz="4" w:space="0" w:color="000000"/>
              <w:right w:val="single" w:sz="4" w:space="0" w:color="000000"/>
            </w:tcBorders>
          </w:tcPr>
          <w:p w14:paraId="0DC6A62A" w14:textId="77777777" w:rsidR="00F825B5" w:rsidRPr="00DC50F0" w:rsidRDefault="00F825B5" w:rsidP="00884CA6">
            <w:pPr>
              <w:kinsoku w:val="0"/>
              <w:overflowPunct w:val="0"/>
              <w:autoSpaceDE w:val="0"/>
              <w:autoSpaceDN w:val="0"/>
              <w:adjustRightInd w:val="0"/>
              <w:spacing w:before="58" w:after="0" w:line="240" w:lineRule="auto"/>
              <w:ind w:left="206" w:right="197"/>
              <w:jc w:val="center"/>
              <w:rPr>
                <w:rFonts w:ascii="Calibri" w:hAnsi="Calibri" w:cs="Calibri"/>
              </w:rPr>
            </w:pPr>
            <w:r w:rsidRPr="00DC50F0">
              <w:rPr>
                <w:rFonts w:ascii="Calibri" w:hAnsi="Calibri" w:cs="Calibri"/>
              </w:rPr>
              <w:t>No qualification</w:t>
            </w:r>
          </w:p>
        </w:tc>
        <w:tc>
          <w:tcPr>
            <w:tcW w:w="1970" w:type="dxa"/>
            <w:tcBorders>
              <w:top w:val="single" w:sz="4" w:space="0" w:color="000000"/>
              <w:left w:val="single" w:sz="4" w:space="0" w:color="000000"/>
              <w:bottom w:val="single" w:sz="4" w:space="0" w:color="000000"/>
              <w:right w:val="single" w:sz="4" w:space="0" w:color="auto"/>
            </w:tcBorders>
          </w:tcPr>
          <w:p w14:paraId="18E151E8" w14:textId="77777777" w:rsidR="00F825B5" w:rsidRPr="00DC50F0" w:rsidRDefault="00F825B5" w:rsidP="00884CA6">
            <w:pPr>
              <w:kinsoku w:val="0"/>
              <w:overflowPunct w:val="0"/>
              <w:autoSpaceDE w:val="0"/>
              <w:autoSpaceDN w:val="0"/>
              <w:adjustRightInd w:val="0"/>
              <w:spacing w:before="58" w:after="0" w:line="240" w:lineRule="auto"/>
              <w:ind w:left="301" w:right="172"/>
              <w:jc w:val="center"/>
              <w:rPr>
                <w:rFonts w:ascii="Calibri" w:hAnsi="Calibri" w:cs="Calibri"/>
              </w:rPr>
            </w:pPr>
            <w:r w:rsidRPr="00DC50F0">
              <w:rPr>
                <w:rFonts w:ascii="Calibri" w:hAnsi="Calibri" w:cs="Calibri"/>
              </w:rPr>
              <w:t>No qualification</w:t>
            </w:r>
          </w:p>
        </w:tc>
      </w:tr>
      <w:tr w:rsidR="00F825B5" w:rsidRPr="0065084B" w14:paraId="41A21799" w14:textId="77777777" w:rsidTr="00884CA6">
        <w:trPr>
          <w:trHeight w:val="372"/>
        </w:trPr>
        <w:tc>
          <w:tcPr>
            <w:tcW w:w="5500" w:type="dxa"/>
            <w:tcBorders>
              <w:top w:val="single" w:sz="4" w:space="0" w:color="000000"/>
              <w:left w:val="single" w:sz="4" w:space="0" w:color="000000"/>
              <w:bottom w:val="single" w:sz="4" w:space="0" w:color="000000"/>
              <w:right w:val="single" w:sz="4" w:space="0" w:color="000000"/>
            </w:tcBorders>
          </w:tcPr>
          <w:p w14:paraId="599F22F0" w14:textId="77777777" w:rsidR="00F825B5" w:rsidRPr="00DC50F0" w:rsidRDefault="00F825B5" w:rsidP="00884CA6">
            <w:pPr>
              <w:kinsoku w:val="0"/>
              <w:overflowPunct w:val="0"/>
              <w:autoSpaceDE w:val="0"/>
              <w:autoSpaceDN w:val="0"/>
              <w:adjustRightInd w:val="0"/>
              <w:spacing w:before="58" w:after="0" w:line="240" w:lineRule="auto"/>
              <w:ind w:left="100"/>
              <w:rPr>
                <w:rFonts w:ascii="Calibri" w:hAnsi="Calibri" w:cs="Calibri"/>
              </w:rPr>
            </w:pPr>
            <w:r w:rsidRPr="00DC50F0">
              <w:rPr>
                <w:rFonts w:ascii="Calibri" w:hAnsi="Calibri" w:cs="Calibri"/>
              </w:rPr>
              <w:t>Aqueous/water and soil/sediment %R 116-140%</w:t>
            </w:r>
          </w:p>
        </w:tc>
        <w:tc>
          <w:tcPr>
            <w:tcW w:w="1890" w:type="dxa"/>
            <w:tcBorders>
              <w:top w:val="single" w:sz="4" w:space="0" w:color="000000"/>
              <w:left w:val="single" w:sz="4" w:space="0" w:color="000000"/>
              <w:bottom w:val="single" w:sz="4" w:space="0" w:color="000000"/>
              <w:right w:val="single" w:sz="4" w:space="0" w:color="000000"/>
            </w:tcBorders>
          </w:tcPr>
          <w:p w14:paraId="490C3943" w14:textId="77777777" w:rsidR="00F825B5" w:rsidRPr="00DC50F0" w:rsidRDefault="00F825B5" w:rsidP="00884CA6">
            <w:pPr>
              <w:kinsoku w:val="0"/>
              <w:overflowPunct w:val="0"/>
              <w:autoSpaceDE w:val="0"/>
              <w:autoSpaceDN w:val="0"/>
              <w:adjustRightInd w:val="0"/>
              <w:spacing w:before="58" w:after="0" w:line="240" w:lineRule="auto"/>
              <w:ind w:left="203" w:right="197"/>
              <w:jc w:val="center"/>
              <w:rPr>
                <w:rFonts w:ascii="Calibri" w:hAnsi="Calibri" w:cs="Calibri"/>
                <w:spacing w:val="-6"/>
              </w:rPr>
            </w:pPr>
            <w:r w:rsidRPr="00DC50F0">
              <w:rPr>
                <w:rFonts w:ascii="Calibri" w:hAnsi="Calibri" w:cs="Calibri"/>
                <w:spacing w:val="-6"/>
              </w:rPr>
              <w:t>J+</w:t>
            </w:r>
          </w:p>
        </w:tc>
        <w:tc>
          <w:tcPr>
            <w:tcW w:w="1970" w:type="dxa"/>
            <w:tcBorders>
              <w:top w:val="single" w:sz="4" w:space="0" w:color="000000"/>
              <w:left w:val="single" w:sz="4" w:space="0" w:color="000000"/>
              <w:bottom w:val="single" w:sz="4" w:space="0" w:color="000000"/>
              <w:right w:val="single" w:sz="4" w:space="0" w:color="auto"/>
            </w:tcBorders>
          </w:tcPr>
          <w:p w14:paraId="74FDA4A4" w14:textId="77777777" w:rsidR="00F825B5" w:rsidRPr="00DC50F0" w:rsidRDefault="00F825B5" w:rsidP="00884CA6">
            <w:pPr>
              <w:kinsoku w:val="0"/>
              <w:overflowPunct w:val="0"/>
              <w:autoSpaceDE w:val="0"/>
              <w:autoSpaceDN w:val="0"/>
              <w:adjustRightInd w:val="0"/>
              <w:spacing w:before="58" w:after="0" w:line="240" w:lineRule="auto"/>
              <w:ind w:left="301" w:right="172"/>
              <w:jc w:val="center"/>
              <w:rPr>
                <w:rFonts w:ascii="Calibri" w:hAnsi="Calibri" w:cs="Calibri"/>
              </w:rPr>
            </w:pPr>
            <w:r w:rsidRPr="00DC50F0">
              <w:rPr>
                <w:rFonts w:ascii="Calibri" w:hAnsi="Calibri" w:cs="Calibri"/>
              </w:rPr>
              <w:t>No qualification</w:t>
            </w:r>
          </w:p>
        </w:tc>
      </w:tr>
      <w:tr w:rsidR="00F825B5" w:rsidRPr="0065084B" w14:paraId="7C4EF07A" w14:textId="77777777" w:rsidTr="00884CA6">
        <w:trPr>
          <w:trHeight w:val="442"/>
        </w:trPr>
        <w:tc>
          <w:tcPr>
            <w:tcW w:w="5500" w:type="dxa"/>
            <w:tcBorders>
              <w:top w:val="single" w:sz="4" w:space="0" w:color="000000"/>
              <w:left w:val="single" w:sz="4" w:space="0" w:color="000000"/>
              <w:bottom w:val="single" w:sz="4" w:space="0" w:color="000000"/>
              <w:right w:val="single" w:sz="4" w:space="0" w:color="000000"/>
            </w:tcBorders>
          </w:tcPr>
          <w:p w14:paraId="02701157" w14:textId="77777777" w:rsidR="00F825B5" w:rsidRPr="00DC50F0" w:rsidRDefault="00F825B5" w:rsidP="00884CA6">
            <w:pPr>
              <w:kinsoku w:val="0"/>
              <w:overflowPunct w:val="0"/>
              <w:autoSpaceDE w:val="0"/>
              <w:autoSpaceDN w:val="0"/>
              <w:adjustRightInd w:val="0"/>
              <w:spacing w:before="93" w:after="0" w:line="240" w:lineRule="auto"/>
              <w:ind w:left="100"/>
              <w:rPr>
                <w:rFonts w:ascii="Calibri" w:hAnsi="Calibri" w:cs="Calibri"/>
              </w:rPr>
            </w:pPr>
            <w:r w:rsidRPr="00DC50F0">
              <w:rPr>
                <w:rFonts w:ascii="Calibri" w:hAnsi="Calibri" w:cs="Calibri"/>
              </w:rPr>
              <w:t>Aqueous/water and soil/sediment %R &gt; 140%</w:t>
            </w:r>
          </w:p>
        </w:tc>
        <w:tc>
          <w:tcPr>
            <w:tcW w:w="1890" w:type="dxa"/>
            <w:tcBorders>
              <w:top w:val="single" w:sz="4" w:space="0" w:color="000000"/>
              <w:left w:val="single" w:sz="4" w:space="0" w:color="000000"/>
              <w:bottom w:val="single" w:sz="4" w:space="0" w:color="000000"/>
              <w:right w:val="single" w:sz="4" w:space="0" w:color="000000"/>
            </w:tcBorders>
          </w:tcPr>
          <w:p w14:paraId="2055F865" w14:textId="77777777" w:rsidR="00F825B5" w:rsidRPr="00DC50F0" w:rsidRDefault="00F825B5" w:rsidP="00884CA6">
            <w:pPr>
              <w:kinsoku w:val="0"/>
              <w:overflowPunct w:val="0"/>
              <w:autoSpaceDE w:val="0"/>
              <w:autoSpaceDN w:val="0"/>
              <w:adjustRightInd w:val="0"/>
              <w:spacing w:before="93" w:after="0" w:line="240" w:lineRule="auto"/>
              <w:ind w:left="8"/>
              <w:jc w:val="center"/>
              <w:rPr>
                <w:rFonts w:ascii="Calibri" w:hAnsi="Calibri" w:cs="Calibri"/>
                <w:w w:val="99"/>
              </w:rPr>
            </w:pPr>
            <w:r w:rsidRPr="00DC50F0">
              <w:rPr>
                <w:rFonts w:ascii="Calibri" w:hAnsi="Calibri" w:cs="Calibri"/>
                <w:w w:val="99"/>
              </w:rPr>
              <w:t>R</w:t>
            </w:r>
          </w:p>
        </w:tc>
        <w:tc>
          <w:tcPr>
            <w:tcW w:w="1970" w:type="dxa"/>
            <w:tcBorders>
              <w:top w:val="single" w:sz="4" w:space="0" w:color="000000"/>
              <w:left w:val="single" w:sz="4" w:space="0" w:color="000000"/>
              <w:bottom w:val="single" w:sz="4" w:space="0" w:color="000000"/>
              <w:right w:val="single" w:sz="4" w:space="0" w:color="auto"/>
            </w:tcBorders>
          </w:tcPr>
          <w:p w14:paraId="1D27009B" w14:textId="77777777" w:rsidR="00F825B5" w:rsidRPr="00DC50F0" w:rsidRDefault="00F825B5" w:rsidP="00884CA6">
            <w:pPr>
              <w:kinsoku w:val="0"/>
              <w:overflowPunct w:val="0"/>
              <w:autoSpaceDE w:val="0"/>
              <w:autoSpaceDN w:val="0"/>
              <w:adjustRightInd w:val="0"/>
              <w:spacing w:before="93" w:after="0" w:line="240" w:lineRule="auto"/>
              <w:ind w:left="301" w:right="172"/>
              <w:jc w:val="center"/>
              <w:rPr>
                <w:rFonts w:ascii="Calibri" w:hAnsi="Calibri" w:cs="Calibri"/>
              </w:rPr>
            </w:pPr>
            <w:r w:rsidRPr="00DC50F0">
              <w:rPr>
                <w:rFonts w:ascii="Calibri" w:hAnsi="Calibri" w:cs="Calibri"/>
              </w:rPr>
              <w:t>No qualification</w:t>
            </w:r>
          </w:p>
        </w:tc>
      </w:tr>
    </w:tbl>
    <w:p w14:paraId="7DAF6CD2" w14:textId="77777777" w:rsidR="00E1175A" w:rsidRDefault="00E1175A" w:rsidP="00E1175A">
      <w:pPr>
        <w:spacing w:after="0" w:line="240" w:lineRule="auto"/>
      </w:pPr>
    </w:p>
    <w:tbl>
      <w:tblPr>
        <w:tblStyle w:val="TableGrid"/>
        <w:tblW w:w="0" w:type="auto"/>
        <w:tblLook w:val="04A0" w:firstRow="1" w:lastRow="0" w:firstColumn="1" w:lastColumn="0" w:noHBand="0" w:noVBand="1"/>
      </w:tblPr>
      <w:tblGrid>
        <w:gridCol w:w="4675"/>
        <w:gridCol w:w="4675"/>
      </w:tblGrid>
      <w:tr w:rsidR="00E87692" w14:paraId="21F45E85" w14:textId="77777777" w:rsidTr="006E568B">
        <w:tc>
          <w:tcPr>
            <w:tcW w:w="9350" w:type="dxa"/>
            <w:gridSpan w:val="2"/>
            <w:shd w:val="clear" w:color="auto" w:fill="D9D9D9" w:themeFill="background1" w:themeFillShade="D9"/>
          </w:tcPr>
          <w:p w14:paraId="207E223E" w14:textId="6ED1AE15" w:rsidR="00E87692" w:rsidRPr="00B939B2" w:rsidRDefault="003A5E5C" w:rsidP="006E568B">
            <w:pPr>
              <w:rPr>
                <w:b/>
                <w:bCs/>
              </w:rPr>
            </w:pPr>
            <w:bookmarkStart w:id="1" w:name="_bookmark0"/>
            <w:bookmarkEnd w:id="1"/>
            <w:r>
              <w:rPr>
                <w:b/>
                <w:bCs/>
              </w:rPr>
              <w:t>10</w:t>
            </w:r>
            <w:r w:rsidR="00E87692" w:rsidRPr="00B939B2">
              <w:rPr>
                <w:b/>
                <w:bCs/>
              </w:rPr>
              <w:t>.</w:t>
            </w:r>
            <w:r w:rsidR="00F825B5">
              <w:rPr>
                <w:b/>
                <w:bCs/>
              </w:rPr>
              <w:t>4</w:t>
            </w:r>
            <w:r w:rsidR="00E87692" w:rsidRPr="00B939B2">
              <w:rPr>
                <w:b/>
                <w:bCs/>
              </w:rPr>
              <w:t xml:space="preserve"> Cyanide Data Review </w:t>
            </w:r>
            <w:r w:rsidR="00A84B7B">
              <w:rPr>
                <w:b/>
                <w:bCs/>
              </w:rPr>
              <w:t>–</w:t>
            </w:r>
            <w:r w:rsidR="00E87692" w:rsidRPr="00B939B2">
              <w:rPr>
                <w:b/>
                <w:bCs/>
              </w:rPr>
              <w:t xml:space="preserve"> </w:t>
            </w:r>
            <w:r w:rsidR="00A84B7B">
              <w:rPr>
                <w:b/>
                <w:bCs/>
              </w:rPr>
              <w:t>Matrix Spike</w:t>
            </w:r>
            <w:r w:rsidR="00C347E9">
              <w:rPr>
                <w:b/>
                <w:bCs/>
              </w:rPr>
              <w:t>s</w:t>
            </w:r>
          </w:p>
        </w:tc>
      </w:tr>
      <w:tr w:rsidR="00E87692" w14:paraId="0593A15E" w14:textId="77777777" w:rsidTr="006E568B">
        <w:tc>
          <w:tcPr>
            <w:tcW w:w="9350" w:type="dxa"/>
            <w:gridSpan w:val="2"/>
            <w:shd w:val="clear" w:color="auto" w:fill="D9D9D9" w:themeFill="background1" w:themeFillShade="D9"/>
          </w:tcPr>
          <w:p w14:paraId="36DADE6C" w14:textId="091A9693" w:rsidR="00E87692" w:rsidRPr="00B939B2" w:rsidRDefault="00492D1E" w:rsidP="006E568B">
            <w:pPr>
              <w:rPr>
                <w:b/>
                <w:bCs/>
              </w:rPr>
            </w:pPr>
            <w:r>
              <w:rPr>
                <w:b/>
                <w:bCs/>
              </w:rPr>
              <w:t>M</w:t>
            </w:r>
            <w:r w:rsidR="006F6096">
              <w:rPr>
                <w:b/>
                <w:bCs/>
              </w:rPr>
              <w:t>atrix spike</w:t>
            </w:r>
            <w:r w:rsidR="00C347E9">
              <w:rPr>
                <w:b/>
                <w:bCs/>
              </w:rPr>
              <w:t>s</w:t>
            </w:r>
            <w:r w:rsidR="008C7B24">
              <w:rPr>
                <w:b/>
                <w:bCs/>
              </w:rPr>
              <w:t xml:space="preserve"> </w:t>
            </w:r>
            <w:r w:rsidR="00F5680F">
              <w:rPr>
                <w:b/>
                <w:bCs/>
              </w:rPr>
              <w:t>are</w:t>
            </w:r>
            <w:r w:rsidR="00522AD6">
              <w:rPr>
                <w:b/>
                <w:bCs/>
              </w:rPr>
              <w:t xml:space="preserve"> performed</w:t>
            </w:r>
            <w:r w:rsidR="00D379D8" w:rsidRPr="00D379D8">
              <w:rPr>
                <w:b/>
                <w:bCs/>
              </w:rPr>
              <w:t xml:space="preserve"> to evaluate the effect of each sample matrix on the sample preparation procedures and the measurement methodology.</w:t>
            </w:r>
            <w:r w:rsidR="00C0007F">
              <w:rPr>
                <w:b/>
                <w:bCs/>
              </w:rPr>
              <w:t xml:space="preserve"> </w:t>
            </w:r>
            <w:r w:rsidR="00C0007F" w:rsidRPr="00C0007F">
              <w:rPr>
                <w:b/>
                <w:bCs/>
              </w:rPr>
              <w:t xml:space="preserve">At least one spiked sample (pre-distillation) should be prepared and analyzed </w:t>
            </w:r>
            <w:r w:rsidR="00146882">
              <w:rPr>
                <w:b/>
                <w:bCs/>
              </w:rPr>
              <w:t>for</w:t>
            </w:r>
            <w:r w:rsidR="00C0007F" w:rsidRPr="00C0007F">
              <w:rPr>
                <w:b/>
                <w:bCs/>
              </w:rPr>
              <w:t xml:space="preserve"> each </w:t>
            </w:r>
            <w:r w:rsidR="003C27F2">
              <w:rPr>
                <w:b/>
                <w:bCs/>
              </w:rPr>
              <w:t xml:space="preserve">batch of </w:t>
            </w:r>
            <w:r w:rsidR="00C0007F" w:rsidRPr="00C0007F">
              <w:rPr>
                <w:b/>
                <w:bCs/>
              </w:rPr>
              <w:t>samples with a similar matrix type (</w:t>
            </w:r>
            <w:r w:rsidR="00C0007F" w:rsidRPr="003C27F2">
              <w:rPr>
                <w:b/>
                <w:bCs/>
                <w:i/>
                <w:iCs/>
              </w:rPr>
              <w:t>e.g.</w:t>
            </w:r>
            <w:r w:rsidR="00C0007F" w:rsidRPr="00C0007F">
              <w:rPr>
                <w:b/>
                <w:bCs/>
              </w:rPr>
              <w:t>, aqueous/water or soil/sediment/waste).</w:t>
            </w:r>
            <w:r w:rsidR="00C0007F">
              <w:rPr>
                <w:b/>
                <w:bCs/>
              </w:rPr>
              <w:t xml:space="preserve"> The data user may also </w:t>
            </w:r>
            <w:r w:rsidR="00FB7CE2" w:rsidRPr="00FB7CE2">
              <w:rPr>
                <w:b/>
                <w:bCs/>
              </w:rPr>
              <w:t>require that a specific sample be used for the matrix spike sample analysis.</w:t>
            </w:r>
            <w:r w:rsidR="00C7721C">
              <w:rPr>
                <w:b/>
                <w:bCs/>
              </w:rPr>
              <w:t xml:space="preserve"> </w:t>
            </w:r>
          </w:p>
        </w:tc>
      </w:tr>
      <w:tr w:rsidR="00E87692" w14:paraId="27F229DE" w14:textId="77777777" w:rsidTr="006E568B">
        <w:tc>
          <w:tcPr>
            <w:tcW w:w="4675" w:type="dxa"/>
            <w:shd w:val="clear" w:color="auto" w:fill="D9D9D9" w:themeFill="background1" w:themeFillShade="D9"/>
          </w:tcPr>
          <w:p w14:paraId="6D8945FC" w14:textId="2022C7A7" w:rsidR="006A0BD6" w:rsidRDefault="003A5E5C" w:rsidP="006A0BD6">
            <w:r>
              <w:t>10</w:t>
            </w:r>
            <w:r w:rsidR="00644892">
              <w:t>.</w:t>
            </w:r>
            <w:r w:rsidR="00F825B5">
              <w:t>4</w:t>
            </w:r>
            <w:r w:rsidR="00644892">
              <w:t>.1</w:t>
            </w:r>
            <w:r w:rsidR="00822BE3">
              <w:tab/>
            </w:r>
            <w:r w:rsidR="006A0BD6">
              <w:t>Is matrix spike data present for each batch of approximately 20 samples (matrix and sample number dependent)?</w:t>
            </w:r>
          </w:p>
          <w:p w14:paraId="464EC038" w14:textId="77777777" w:rsidR="006A0BD6" w:rsidRDefault="006A0BD6" w:rsidP="006A0BD6"/>
          <w:p w14:paraId="0BA2353F" w14:textId="62ED2C17" w:rsidR="00E87692" w:rsidRPr="006A0BD6" w:rsidRDefault="006A0BD6" w:rsidP="006A0BD6">
            <w:pPr>
              <w:rPr>
                <w:i/>
                <w:iCs/>
              </w:rPr>
            </w:pPr>
            <w:r w:rsidRPr="006A0BD6">
              <w:rPr>
                <w:i/>
                <w:iCs/>
              </w:rPr>
              <w:t xml:space="preserve">Action: If not present, request information from the applicable party or laboratory.  If the required method blank(s) was not analyzed, sample results </w:t>
            </w:r>
            <w:r w:rsidR="00FB4741">
              <w:rPr>
                <w:i/>
                <w:iCs/>
              </w:rPr>
              <w:lastRenderedPageBreak/>
              <w:t>should</w:t>
            </w:r>
            <w:r w:rsidRPr="006A0BD6">
              <w:rPr>
                <w:i/>
                <w:iCs/>
              </w:rPr>
              <w:t xml:space="preserve"> be qualified as estimated (“J” for </w:t>
            </w:r>
            <w:r w:rsidR="00FB4741">
              <w:rPr>
                <w:i/>
                <w:iCs/>
              </w:rPr>
              <w:t>detected</w:t>
            </w:r>
            <w:r w:rsidRPr="006A0BD6">
              <w:rPr>
                <w:i/>
                <w:iCs/>
              </w:rPr>
              <w:t xml:space="preserve"> results and “UJ” for non-detected </w:t>
            </w:r>
            <w:r w:rsidR="00FB4741">
              <w:rPr>
                <w:i/>
                <w:iCs/>
              </w:rPr>
              <w:t>results</w:t>
            </w:r>
            <w:r w:rsidRPr="006A0BD6">
              <w:rPr>
                <w:i/>
                <w:iCs/>
              </w:rPr>
              <w:t xml:space="preserve">).  </w:t>
            </w:r>
            <w:r w:rsidRPr="006A0BD6">
              <w:rPr>
                <w:i/>
                <w:iCs/>
              </w:rPr>
              <w:tab/>
            </w:r>
          </w:p>
        </w:tc>
        <w:tc>
          <w:tcPr>
            <w:tcW w:w="4675" w:type="dxa"/>
          </w:tcPr>
          <w:p w14:paraId="68E157CC" w14:textId="1C85DB4A" w:rsidR="00E87692" w:rsidRPr="006A0BD6" w:rsidRDefault="006A0BD6" w:rsidP="006E568B">
            <w:pPr>
              <w:rPr>
                <w:b/>
                <w:bCs/>
              </w:rPr>
            </w:pPr>
            <w:r w:rsidRPr="006A0BD6">
              <w:rPr>
                <w:b/>
                <w:bCs/>
              </w:rPr>
              <w:lastRenderedPageBreak/>
              <w:t>Indicate yes or no:</w:t>
            </w:r>
          </w:p>
        </w:tc>
      </w:tr>
      <w:tr w:rsidR="00E87692" w14:paraId="528834D6" w14:textId="77777777" w:rsidTr="006E568B">
        <w:tc>
          <w:tcPr>
            <w:tcW w:w="4675" w:type="dxa"/>
            <w:shd w:val="clear" w:color="auto" w:fill="D9D9D9" w:themeFill="background1" w:themeFillShade="D9"/>
          </w:tcPr>
          <w:p w14:paraId="43CAB9B5" w14:textId="75D808DD" w:rsidR="00E87692" w:rsidRDefault="003A5E5C" w:rsidP="006E568B">
            <w:r>
              <w:t>10</w:t>
            </w:r>
            <w:r w:rsidR="006720C4">
              <w:t>.</w:t>
            </w:r>
            <w:r w:rsidR="00F825B5">
              <w:t>4</w:t>
            </w:r>
            <w:r w:rsidR="006720C4">
              <w:t>.2</w:t>
            </w:r>
            <w:r w:rsidR="00822BE3">
              <w:tab/>
            </w:r>
            <w:r w:rsidR="00FB4741">
              <w:t>Was each matrix spike prepared from a field sample?</w:t>
            </w:r>
          </w:p>
          <w:p w14:paraId="50938F18" w14:textId="77777777" w:rsidR="00FB4741" w:rsidRDefault="00FB4741" w:rsidP="006E568B"/>
          <w:p w14:paraId="103CEDB0" w14:textId="2784EACC" w:rsidR="00FB4741" w:rsidRDefault="00FB4741" w:rsidP="006E568B">
            <w:r w:rsidRPr="006A0BD6">
              <w:rPr>
                <w:i/>
                <w:iCs/>
              </w:rPr>
              <w:t>Action: If not</w:t>
            </w:r>
            <w:r>
              <w:rPr>
                <w:i/>
                <w:iCs/>
              </w:rPr>
              <w:t>,</w:t>
            </w:r>
            <w:r w:rsidRPr="006A0BD6">
              <w:rPr>
                <w:i/>
                <w:iCs/>
              </w:rPr>
              <w:t xml:space="preserve"> sample results </w:t>
            </w:r>
            <w:r>
              <w:rPr>
                <w:i/>
                <w:iCs/>
              </w:rPr>
              <w:t>should</w:t>
            </w:r>
            <w:r w:rsidRPr="006A0BD6">
              <w:rPr>
                <w:i/>
                <w:iCs/>
              </w:rPr>
              <w:t xml:space="preserve"> be qualified as estimated (“J” for </w:t>
            </w:r>
            <w:r>
              <w:rPr>
                <w:i/>
                <w:iCs/>
              </w:rPr>
              <w:t>detected</w:t>
            </w:r>
            <w:r w:rsidRPr="006A0BD6">
              <w:rPr>
                <w:i/>
                <w:iCs/>
              </w:rPr>
              <w:t xml:space="preserve"> results and “UJ” for non-detected </w:t>
            </w:r>
            <w:r>
              <w:rPr>
                <w:i/>
                <w:iCs/>
              </w:rPr>
              <w:t>results</w:t>
            </w:r>
            <w:r w:rsidRPr="006A0BD6">
              <w:rPr>
                <w:i/>
                <w:iCs/>
              </w:rPr>
              <w:t xml:space="preserve">).  </w:t>
            </w:r>
          </w:p>
        </w:tc>
        <w:tc>
          <w:tcPr>
            <w:tcW w:w="4675" w:type="dxa"/>
          </w:tcPr>
          <w:p w14:paraId="0C7729B8" w14:textId="7399AA53" w:rsidR="00E87692" w:rsidRDefault="00FB4741" w:rsidP="006E568B">
            <w:r w:rsidRPr="006A0BD6">
              <w:rPr>
                <w:b/>
                <w:bCs/>
              </w:rPr>
              <w:t>Indicate yes or no:</w:t>
            </w:r>
          </w:p>
        </w:tc>
      </w:tr>
      <w:tr w:rsidR="00E87692" w14:paraId="041FEDF5" w14:textId="77777777" w:rsidTr="006E568B">
        <w:tc>
          <w:tcPr>
            <w:tcW w:w="4675" w:type="dxa"/>
            <w:shd w:val="clear" w:color="auto" w:fill="D9D9D9" w:themeFill="background1" w:themeFillShade="D9"/>
          </w:tcPr>
          <w:p w14:paraId="7411417B" w14:textId="502B3789" w:rsidR="00E87692" w:rsidRDefault="003A5E5C" w:rsidP="006E568B">
            <w:r>
              <w:t>10</w:t>
            </w:r>
            <w:r w:rsidR="006720C4">
              <w:t>.</w:t>
            </w:r>
            <w:r w:rsidR="00F825B5">
              <w:t>4</w:t>
            </w:r>
            <w:r w:rsidR="006720C4">
              <w:t>.3</w:t>
            </w:r>
            <w:r w:rsidR="00822BE3">
              <w:tab/>
            </w:r>
            <w:r w:rsidR="00FB4741">
              <w:t>Do all pre-distillation matrix spike sample results fall with the established control limits?</w:t>
            </w:r>
          </w:p>
          <w:p w14:paraId="7DB6125D" w14:textId="77777777" w:rsidR="00FB4741" w:rsidRDefault="00FB4741" w:rsidP="006E568B"/>
          <w:p w14:paraId="4E5FCA09" w14:textId="0F1DED83" w:rsidR="00FB4741" w:rsidRPr="00FB4741" w:rsidRDefault="00FB4741" w:rsidP="006E568B">
            <w:pPr>
              <w:rPr>
                <w:i/>
                <w:iCs/>
              </w:rPr>
            </w:pPr>
            <w:r>
              <w:rPr>
                <w:i/>
                <w:iCs/>
              </w:rPr>
              <w:t>Action: If not, verify a post-distillation spike was prepared and analyzed.</w:t>
            </w:r>
          </w:p>
        </w:tc>
        <w:tc>
          <w:tcPr>
            <w:tcW w:w="4675" w:type="dxa"/>
          </w:tcPr>
          <w:p w14:paraId="4BD6A25F" w14:textId="217A6F06" w:rsidR="00E87692" w:rsidRDefault="00FB4741" w:rsidP="006E568B">
            <w:r w:rsidRPr="006A0BD6">
              <w:rPr>
                <w:b/>
                <w:bCs/>
              </w:rPr>
              <w:t>Indicate yes or no:</w:t>
            </w:r>
          </w:p>
        </w:tc>
      </w:tr>
      <w:tr w:rsidR="00E87692" w14:paraId="473736DF" w14:textId="77777777" w:rsidTr="006E568B">
        <w:tc>
          <w:tcPr>
            <w:tcW w:w="4675" w:type="dxa"/>
            <w:shd w:val="clear" w:color="auto" w:fill="D9D9D9" w:themeFill="background1" w:themeFillShade="D9"/>
          </w:tcPr>
          <w:p w14:paraId="029E8D08" w14:textId="4E25137B" w:rsidR="00E87692" w:rsidRDefault="003A5E5C" w:rsidP="006E568B">
            <w:r>
              <w:t>10</w:t>
            </w:r>
            <w:r w:rsidR="006720C4">
              <w:t>.</w:t>
            </w:r>
            <w:r w:rsidR="00F825B5">
              <w:t>4</w:t>
            </w:r>
            <w:r w:rsidR="006720C4">
              <w:t>.4</w:t>
            </w:r>
            <w:r w:rsidR="00822BE3">
              <w:tab/>
            </w:r>
            <w:r w:rsidR="00CD0AA6">
              <w:t>If a post</w:t>
            </w:r>
            <w:r w:rsidR="000118A5">
              <w:t xml:space="preserve">-distillation spike was analyzed, </w:t>
            </w:r>
            <w:r w:rsidR="000A5B0B">
              <w:t>were matrix spike sample results within the established control limits?</w:t>
            </w:r>
          </w:p>
          <w:p w14:paraId="45A8A826" w14:textId="77777777" w:rsidR="004C3DDD" w:rsidRDefault="004C3DDD" w:rsidP="006E568B"/>
          <w:p w14:paraId="57F88281" w14:textId="069C5C9B" w:rsidR="004C3DDD" w:rsidRDefault="004C3DDD" w:rsidP="006E568B">
            <w:r>
              <w:rPr>
                <w:i/>
                <w:iCs/>
              </w:rPr>
              <w:t xml:space="preserve">Action: Use </w:t>
            </w:r>
            <w:r w:rsidR="00D8209D">
              <w:rPr>
                <w:i/>
                <w:iCs/>
              </w:rPr>
              <w:t>T</w:t>
            </w:r>
            <w:r>
              <w:rPr>
                <w:i/>
                <w:iCs/>
              </w:rPr>
              <w:t>able</w:t>
            </w:r>
            <w:r w:rsidR="00CD2918">
              <w:rPr>
                <w:i/>
                <w:iCs/>
              </w:rPr>
              <w:t xml:space="preserve"> </w:t>
            </w:r>
            <w:r w:rsidR="003A5E5C">
              <w:rPr>
                <w:i/>
                <w:iCs/>
              </w:rPr>
              <w:t>10</w:t>
            </w:r>
            <w:r w:rsidR="00CD2918">
              <w:rPr>
                <w:i/>
                <w:iCs/>
              </w:rPr>
              <w:t>-</w:t>
            </w:r>
            <w:r w:rsidR="09B3B66C" w:rsidRPr="5324AA50">
              <w:rPr>
                <w:i/>
                <w:iCs/>
              </w:rPr>
              <w:t>4</w:t>
            </w:r>
            <w:r>
              <w:rPr>
                <w:i/>
                <w:iCs/>
              </w:rPr>
              <w:t xml:space="preserve"> below to qualify results that are not within the </w:t>
            </w:r>
            <w:r w:rsidR="004E4C39">
              <w:rPr>
                <w:i/>
                <w:iCs/>
              </w:rPr>
              <w:t>established control limits</w:t>
            </w:r>
            <w:r>
              <w:rPr>
                <w:i/>
                <w:iCs/>
              </w:rPr>
              <w:t>.</w:t>
            </w:r>
          </w:p>
        </w:tc>
        <w:tc>
          <w:tcPr>
            <w:tcW w:w="4675" w:type="dxa"/>
          </w:tcPr>
          <w:p w14:paraId="73B37909" w14:textId="12A9F506" w:rsidR="00E87692" w:rsidRDefault="004C3DDD" w:rsidP="006E568B">
            <w:r w:rsidRPr="006A0BD6">
              <w:rPr>
                <w:b/>
                <w:bCs/>
              </w:rPr>
              <w:t>Indicate yes or no:</w:t>
            </w:r>
          </w:p>
        </w:tc>
      </w:tr>
      <w:tr w:rsidR="00CD0AA6" w14:paraId="261F53CF" w14:textId="77777777" w:rsidTr="006E568B">
        <w:tc>
          <w:tcPr>
            <w:tcW w:w="4675" w:type="dxa"/>
            <w:shd w:val="clear" w:color="auto" w:fill="D9D9D9" w:themeFill="background1" w:themeFillShade="D9"/>
          </w:tcPr>
          <w:p w14:paraId="0EF483BF" w14:textId="12E1785F" w:rsidR="00CD0AA6" w:rsidRDefault="00FF5AED" w:rsidP="006E568B">
            <w:r>
              <w:t>10</w:t>
            </w:r>
            <w:r w:rsidR="000A5B0B">
              <w:t>.</w:t>
            </w:r>
            <w:r w:rsidR="00F825B5">
              <w:t>4</w:t>
            </w:r>
            <w:r w:rsidR="000A5B0B">
              <w:t>.5</w:t>
            </w:r>
            <w:r w:rsidR="00822BE3">
              <w:tab/>
            </w:r>
            <w:r w:rsidR="009D3B9C">
              <w:t>Verify</w:t>
            </w:r>
            <w:r w:rsidR="00804A62">
              <w:t xml:space="preserve"> </w:t>
            </w:r>
            <w:r w:rsidR="00407B37">
              <w:t xml:space="preserve">the calculations for </w:t>
            </w:r>
            <w:r w:rsidR="00804A62">
              <w:t>at least one %R</w:t>
            </w:r>
            <w:r w:rsidR="00B7393C">
              <w:t>.</w:t>
            </w:r>
          </w:p>
          <w:p w14:paraId="1ADDB728" w14:textId="77777777" w:rsidR="00B7393C" w:rsidRDefault="00B7393C" w:rsidP="006E568B"/>
          <w:p w14:paraId="088D8033" w14:textId="77777777" w:rsidR="00B7393C" w:rsidRPr="00632DF1" w:rsidRDefault="00B7393C" w:rsidP="006E568B">
            <w:pPr>
              <w:rPr>
                <w:rFonts w:eastAsiaTheme="minorEastAsia"/>
              </w:rPr>
            </w:pPr>
            <m:oMathPara>
              <m:oMath>
                <m:r>
                  <w:rPr>
                    <w:rFonts w:ascii="Cambria Math" w:hAnsi="Cambria Math"/>
                  </w:rPr>
                  <m:t xml:space="preserve">%R = </m:t>
                </m:r>
                <m:f>
                  <m:fPr>
                    <m:ctrlPr>
                      <w:rPr>
                        <w:rFonts w:ascii="Cambria Math" w:hAnsi="Cambria Math"/>
                        <w:i/>
                      </w:rPr>
                    </m:ctrlPr>
                  </m:fPr>
                  <m:num>
                    <m:r>
                      <w:rPr>
                        <w:rFonts w:ascii="Cambria Math" w:hAnsi="Cambria Math"/>
                      </w:rPr>
                      <m:t>SSR -SR</m:t>
                    </m:r>
                  </m:num>
                  <m:den>
                    <m:r>
                      <w:rPr>
                        <w:rFonts w:ascii="Cambria Math" w:hAnsi="Cambria Math"/>
                      </w:rPr>
                      <m:t>SA</m:t>
                    </m:r>
                  </m:den>
                </m:f>
                <m:r>
                  <w:rPr>
                    <w:rFonts w:ascii="Cambria Math" w:hAnsi="Cambria Math"/>
                  </w:rPr>
                  <m:t xml:space="preserve"> ×100</m:t>
                </m:r>
              </m:oMath>
            </m:oMathPara>
          </w:p>
          <w:p w14:paraId="24A49557" w14:textId="77777777" w:rsidR="00632DF1" w:rsidRDefault="00632DF1" w:rsidP="006E568B">
            <w:pPr>
              <w:rPr>
                <w:rFonts w:eastAsiaTheme="minorEastAsia"/>
              </w:rPr>
            </w:pPr>
          </w:p>
          <w:p w14:paraId="116EA5AD" w14:textId="77777777" w:rsidR="00632DF1" w:rsidRDefault="00632DF1" w:rsidP="006E568B">
            <w:pPr>
              <w:rPr>
                <w:rFonts w:eastAsiaTheme="minorEastAsia"/>
              </w:rPr>
            </w:pPr>
            <w:r>
              <w:rPr>
                <w:rFonts w:eastAsiaTheme="minorEastAsia"/>
              </w:rPr>
              <w:t>Where:</w:t>
            </w:r>
          </w:p>
          <w:p w14:paraId="6E7937D6" w14:textId="77777777" w:rsidR="00632DF1" w:rsidRDefault="000509A6" w:rsidP="006E568B">
            <w:pPr>
              <w:rPr>
                <w:rFonts w:eastAsiaTheme="minorEastAsia"/>
              </w:rPr>
            </w:pPr>
            <w:r>
              <w:rPr>
                <w:rFonts w:eastAsiaTheme="minorEastAsia"/>
              </w:rPr>
              <w:t>SSR = Spike sample Result</w:t>
            </w:r>
          </w:p>
          <w:p w14:paraId="2BAB6B1B" w14:textId="77777777" w:rsidR="000509A6" w:rsidRDefault="000509A6" w:rsidP="006E568B">
            <w:pPr>
              <w:rPr>
                <w:rFonts w:eastAsiaTheme="minorEastAsia"/>
              </w:rPr>
            </w:pPr>
            <w:r>
              <w:rPr>
                <w:rFonts w:eastAsiaTheme="minorEastAsia"/>
              </w:rPr>
              <w:t>SR = Sample Result</w:t>
            </w:r>
          </w:p>
          <w:p w14:paraId="336B2090" w14:textId="77777777" w:rsidR="00BF7495" w:rsidRDefault="00BF7495" w:rsidP="006E568B">
            <w:pPr>
              <w:rPr>
                <w:rFonts w:eastAsiaTheme="minorEastAsia"/>
              </w:rPr>
            </w:pPr>
            <w:r>
              <w:rPr>
                <w:rFonts w:eastAsiaTheme="minorEastAsia"/>
              </w:rPr>
              <w:t>SA = Spike Added</w:t>
            </w:r>
          </w:p>
          <w:p w14:paraId="682C0545" w14:textId="77777777" w:rsidR="00BF7495" w:rsidRDefault="00BF7495" w:rsidP="006E568B">
            <w:pPr>
              <w:rPr>
                <w:rFonts w:eastAsiaTheme="minorEastAsia"/>
              </w:rPr>
            </w:pPr>
          </w:p>
          <w:p w14:paraId="732DF18B" w14:textId="35428928" w:rsidR="00BF7495" w:rsidRPr="00BF7495" w:rsidRDefault="00BF7495" w:rsidP="006E568B">
            <w:pPr>
              <w:rPr>
                <w:b/>
                <w:bCs/>
              </w:rPr>
            </w:pPr>
            <w:r>
              <w:rPr>
                <w:rFonts w:eastAsiaTheme="minorEastAsia"/>
                <w:b/>
                <w:bCs/>
              </w:rPr>
              <w:t xml:space="preserve">Note: </w:t>
            </w:r>
            <w:r w:rsidR="00216ABC">
              <w:rPr>
                <w:rFonts w:eastAsiaTheme="minorEastAsia"/>
                <w:b/>
                <w:bCs/>
              </w:rPr>
              <w:t>W</w:t>
            </w:r>
            <w:r>
              <w:rPr>
                <w:rFonts w:eastAsiaTheme="minorEastAsia"/>
                <w:b/>
                <w:bCs/>
              </w:rPr>
              <w:t>hen the sample result is</w:t>
            </w:r>
            <w:r w:rsidR="00326479">
              <w:rPr>
                <w:rFonts w:eastAsiaTheme="minorEastAsia"/>
                <w:b/>
                <w:bCs/>
              </w:rPr>
              <w:t xml:space="preserve"> reported as non-detect, the sample result should be set at 0</w:t>
            </w:r>
            <w:r w:rsidR="00D04C32">
              <w:rPr>
                <w:rFonts w:eastAsiaTheme="minorEastAsia"/>
                <w:b/>
                <w:bCs/>
              </w:rPr>
              <w:t xml:space="preserve"> for calculating the %R.</w:t>
            </w:r>
          </w:p>
        </w:tc>
        <w:tc>
          <w:tcPr>
            <w:tcW w:w="4675" w:type="dxa"/>
          </w:tcPr>
          <w:p w14:paraId="449869CA" w14:textId="6CF19E42" w:rsidR="00CD0AA6" w:rsidRPr="004C3DDD" w:rsidRDefault="00FB24FB" w:rsidP="006E568B">
            <w:pPr>
              <w:rPr>
                <w:b/>
                <w:bCs/>
              </w:rPr>
            </w:pPr>
            <w:r w:rsidRPr="004C3DDD">
              <w:rPr>
                <w:b/>
                <w:bCs/>
              </w:rPr>
              <w:t xml:space="preserve">Show </w:t>
            </w:r>
            <w:r w:rsidR="00774EFC">
              <w:rPr>
                <w:rStyle w:val="normaltextrun"/>
                <w:rFonts w:ascii="Calibri" w:hAnsi="Calibri" w:cs="Calibri"/>
                <w:b/>
                <w:bCs/>
                <w:color w:val="000000"/>
                <w:bdr w:val="none" w:sz="0" w:space="0" w:color="auto" w:frame="1"/>
              </w:rPr>
              <w:t>results of verified %R calculation:</w:t>
            </w:r>
          </w:p>
        </w:tc>
      </w:tr>
      <w:tr w:rsidR="00BA7963" w14:paraId="68C7B194" w14:textId="77777777" w:rsidTr="006E568B">
        <w:tc>
          <w:tcPr>
            <w:tcW w:w="4675" w:type="dxa"/>
            <w:shd w:val="clear" w:color="auto" w:fill="D9D9D9" w:themeFill="background1" w:themeFillShade="D9"/>
          </w:tcPr>
          <w:p w14:paraId="3EB4DF08" w14:textId="38703592" w:rsidR="00BA7963" w:rsidRDefault="003A5E5C" w:rsidP="006E568B">
            <w:r>
              <w:t>10</w:t>
            </w:r>
            <w:r w:rsidR="006365B6">
              <w:t>.</w:t>
            </w:r>
            <w:r w:rsidR="00F825B5">
              <w:t>4</w:t>
            </w:r>
            <w:r w:rsidR="006365B6">
              <w:t>.6</w:t>
            </w:r>
            <w:r w:rsidR="00822BE3">
              <w:tab/>
            </w:r>
            <w:r w:rsidR="00CD43EA">
              <w:t>If a matrix spike duplicate was</w:t>
            </w:r>
            <w:r w:rsidR="00B405D9">
              <w:t xml:space="preserve"> performed,</w:t>
            </w:r>
            <w:r w:rsidR="00537D11">
              <w:t xml:space="preserve"> </w:t>
            </w:r>
            <w:r w:rsidR="001E282D">
              <w:t>were any</w:t>
            </w:r>
            <w:r w:rsidR="00D02409">
              <w:t xml:space="preserve"> </w:t>
            </w:r>
            <w:r w:rsidR="00D02409" w:rsidRPr="00D02409">
              <w:t xml:space="preserve">relative percent differences (RPDs) for matrix spike and matrix spike duplicate recoveries are outside the QC limits </w:t>
            </w:r>
            <w:r w:rsidR="001267FF">
              <w:t>(</w:t>
            </w:r>
            <w:r w:rsidR="00FF38E9" w:rsidRPr="00A44F9F">
              <w:t>RPD &gt; 20%</w:t>
            </w:r>
            <w:r w:rsidR="00FF38E9">
              <w:t>)</w:t>
            </w:r>
            <w:r w:rsidR="00D02409" w:rsidRPr="00D02409">
              <w:t>?</w:t>
            </w:r>
          </w:p>
          <w:p w14:paraId="0382CA96" w14:textId="77777777" w:rsidR="00482BFD" w:rsidRDefault="00482BFD" w:rsidP="006E568B"/>
          <w:p w14:paraId="1317740A" w14:textId="0C199B64" w:rsidR="00001302" w:rsidRPr="0003166B" w:rsidRDefault="0003166B" w:rsidP="006E568B">
            <w:pPr>
              <w:rPr>
                <w:b/>
                <w:bCs/>
              </w:rPr>
            </w:pPr>
            <w:r w:rsidRPr="0003166B">
              <w:rPr>
                <w:b/>
                <w:bCs/>
              </w:rPr>
              <w:t>Note:  The MS/MSD results may be used to determine the need for data qualification.  Outliers should be identified.</w:t>
            </w:r>
          </w:p>
        </w:tc>
        <w:tc>
          <w:tcPr>
            <w:tcW w:w="4675" w:type="dxa"/>
          </w:tcPr>
          <w:p w14:paraId="05CB7156" w14:textId="3498FAA3" w:rsidR="00BA7963" w:rsidRPr="004C3DDD" w:rsidRDefault="00DF55BE" w:rsidP="006E568B">
            <w:pPr>
              <w:rPr>
                <w:b/>
                <w:bCs/>
              </w:rPr>
            </w:pPr>
            <w:r>
              <w:rPr>
                <w:rStyle w:val="normaltextrun"/>
                <w:rFonts w:ascii="Calibri" w:hAnsi="Calibri" w:cs="Calibri"/>
                <w:b/>
                <w:bCs/>
                <w:color w:val="000000"/>
                <w:bdr w:val="none" w:sz="0" w:space="0" w:color="auto" w:frame="1"/>
              </w:rPr>
              <w:t>Record the recovery data out of criteria and control limits.</w:t>
            </w:r>
          </w:p>
        </w:tc>
      </w:tr>
      <w:tr w:rsidR="00BA107B" w14:paraId="0A0EB9DE" w14:textId="77777777" w:rsidTr="006E568B">
        <w:tc>
          <w:tcPr>
            <w:tcW w:w="4675" w:type="dxa"/>
            <w:shd w:val="clear" w:color="auto" w:fill="D9D9D9" w:themeFill="background1" w:themeFillShade="D9"/>
          </w:tcPr>
          <w:p w14:paraId="13CFFF88" w14:textId="4E3E73F5" w:rsidR="00BA107B" w:rsidRDefault="003A5E5C" w:rsidP="006E568B">
            <w:r>
              <w:t>10</w:t>
            </w:r>
            <w:r w:rsidR="00A1675B">
              <w:t>.</w:t>
            </w:r>
            <w:r w:rsidR="00F825B5">
              <w:t>4</w:t>
            </w:r>
            <w:r w:rsidR="00C35E70">
              <w:t>.7</w:t>
            </w:r>
            <w:r w:rsidR="00822BE3">
              <w:tab/>
            </w:r>
            <w:r w:rsidR="0048092F" w:rsidRPr="0048092F">
              <w:t>Verify the calculations for at least one RPD.</w:t>
            </w:r>
          </w:p>
          <w:p w14:paraId="3EDC9DD7" w14:textId="77777777" w:rsidR="003F5AAA" w:rsidRDefault="003F5AAA" w:rsidP="006E568B"/>
          <w:p w14:paraId="29E84DF7" w14:textId="559D7671" w:rsidR="00514939" w:rsidRDefault="0097230F" w:rsidP="00514939">
            <w:pPr>
              <w:jc w:val="center"/>
            </w:pPr>
            <m:oMathPara>
              <m:oMath>
                <m:r>
                  <w:rPr>
                    <w:rFonts w:ascii="Cambria Math" w:hAnsi="Cambria Math"/>
                  </w:rPr>
                  <m:t xml:space="preserve">RPD = </m:t>
                </m:r>
                <m:f>
                  <m:fPr>
                    <m:ctrlPr>
                      <w:rPr>
                        <w:rFonts w:ascii="Cambria Math" w:hAnsi="Cambria Math"/>
                        <w:i/>
                      </w:rPr>
                    </m:ctrlPr>
                  </m:fPr>
                  <m:num>
                    <m:d>
                      <m:dPr>
                        <m:begChr m:val="|"/>
                        <m:endChr m:val="|"/>
                        <m:ctrlPr>
                          <w:rPr>
                            <w:rFonts w:ascii="Cambria Math" w:hAnsi="Cambria Math"/>
                            <w:i/>
                          </w:rPr>
                        </m:ctrlPr>
                      </m:dPr>
                      <m:e>
                        <m:r>
                          <w:rPr>
                            <w:rFonts w:ascii="Cambria Math" w:hAnsi="Cambria Math"/>
                          </w:rPr>
                          <m:t>MSR -MSDR</m:t>
                        </m:r>
                      </m:e>
                    </m:d>
                  </m:num>
                  <m:den>
                    <m:d>
                      <m:dPr>
                        <m:ctrlPr>
                          <w:rPr>
                            <w:rFonts w:ascii="Cambria Math" w:hAnsi="Cambria Math"/>
                            <w:i/>
                          </w:rPr>
                        </m:ctrlPr>
                      </m:dPr>
                      <m:e>
                        <m:f>
                          <m:fPr>
                            <m:ctrlPr>
                              <w:rPr>
                                <w:rFonts w:ascii="Cambria Math" w:hAnsi="Cambria Math"/>
                                <w:i/>
                              </w:rPr>
                            </m:ctrlPr>
                          </m:fPr>
                          <m:num>
                            <m:r>
                              <w:rPr>
                                <w:rFonts w:ascii="Cambria Math" w:hAnsi="Cambria Math"/>
                              </w:rPr>
                              <m:t>MSR +MSDR</m:t>
                            </m:r>
                          </m:num>
                          <m:den>
                            <m:r>
                              <w:rPr>
                                <w:rFonts w:ascii="Cambria Math" w:hAnsi="Cambria Math"/>
                              </w:rPr>
                              <m:t>2</m:t>
                            </m:r>
                          </m:den>
                        </m:f>
                      </m:e>
                    </m:d>
                  </m:den>
                </m:f>
                <m:r>
                  <w:rPr>
                    <w:rFonts w:ascii="Cambria Math" w:hAnsi="Cambria Math"/>
                  </w:rPr>
                  <m:t xml:space="preserve"> ×100</m:t>
                </m:r>
              </m:oMath>
            </m:oMathPara>
          </w:p>
          <w:p w14:paraId="3C31E8E5" w14:textId="77777777" w:rsidR="00514939" w:rsidRDefault="00514939" w:rsidP="006E568B"/>
          <w:p w14:paraId="41888AAB" w14:textId="77777777" w:rsidR="00514939" w:rsidRDefault="00514939" w:rsidP="005149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Where:</w:t>
            </w:r>
            <w:r>
              <w:rPr>
                <w:rStyle w:val="eop"/>
                <w:rFonts w:ascii="Calibri" w:hAnsi="Calibri" w:cs="Calibri"/>
                <w:sz w:val="22"/>
                <w:szCs w:val="22"/>
              </w:rPr>
              <w:t> </w:t>
            </w:r>
          </w:p>
          <w:p w14:paraId="2E3CA015" w14:textId="77777777" w:rsidR="00514939" w:rsidRDefault="00514939" w:rsidP="0051493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hAnsi="Calibri" w:cs="Calibri"/>
                <w:sz w:val="22"/>
                <w:szCs w:val="22"/>
              </w:rPr>
              <w:t>MSR= Matrix spike result for the spiking analyte in the MS sample</w:t>
            </w:r>
            <w:r>
              <w:rPr>
                <w:rStyle w:val="eop"/>
                <w:rFonts w:ascii="Calibri" w:hAnsi="Calibri" w:cs="Calibri"/>
                <w:sz w:val="22"/>
                <w:szCs w:val="22"/>
              </w:rPr>
              <w:t> </w:t>
            </w:r>
          </w:p>
          <w:p w14:paraId="64F0E1BC" w14:textId="76AD1C51" w:rsidR="003F5AAA" w:rsidRPr="00867069" w:rsidRDefault="00514939" w:rsidP="008670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MSDR= Matrix spike result for the spiking analyte in the MSD sample</w:t>
            </w:r>
            <w:r>
              <w:rPr>
                <w:rStyle w:val="eop"/>
                <w:rFonts w:ascii="Calibri" w:hAnsi="Calibri" w:cs="Calibri"/>
                <w:sz w:val="22"/>
                <w:szCs w:val="22"/>
              </w:rPr>
              <w:t> </w:t>
            </w:r>
          </w:p>
        </w:tc>
        <w:tc>
          <w:tcPr>
            <w:tcW w:w="4675" w:type="dxa"/>
          </w:tcPr>
          <w:p w14:paraId="0810DD84" w14:textId="416A92F8" w:rsidR="00BA107B" w:rsidRPr="004C3DDD" w:rsidRDefault="0004113A" w:rsidP="006E568B">
            <w:pPr>
              <w:rPr>
                <w:b/>
                <w:bCs/>
              </w:rPr>
            </w:pPr>
            <w:r>
              <w:rPr>
                <w:rStyle w:val="normaltextrun"/>
                <w:rFonts w:ascii="Calibri" w:hAnsi="Calibri" w:cs="Calibri"/>
                <w:b/>
                <w:bCs/>
                <w:color w:val="000000"/>
                <w:bdr w:val="none" w:sz="0" w:space="0" w:color="auto" w:frame="1"/>
              </w:rPr>
              <w:lastRenderedPageBreak/>
              <w:t>Show results of verified RPD calculation:</w:t>
            </w:r>
          </w:p>
        </w:tc>
      </w:tr>
    </w:tbl>
    <w:p w14:paraId="0047812B" w14:textId="77777777" w:rsidR="006567C7" w:rsidRDefault="006567C7" w:rsidP="006567C7"/>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2400"/>
        <w:gridCol w:w="2445"/>
      </w:tblGrid>
      <w:tr w:rsidR="00EF2F3F" w14:paraId="4685BD10" w14:textId="77777777" w:rsidTr="006E568B">
        <w:trPr>
          <w:trHeight w:val="305"/>
        </w:trPr>
        <w:tc>
          <w:tcPr>
            <w:tcW w:w="9360" w:type="dxa"/>
            <w:gridSpan w:val="3"/>
            <w:shd w:val="clear" w:color="auto" w:fill="D9D9D9" w:themeFill="background1" w:themeFillShade="D9"/>
            <w:vAlign w:val="center"/>
          </w:tcPr>
          <w:p w14:paraId="2C5EA8FD" w14:textId="2DBD33CF" w:rsidR="00EF2F3F" w:rsidRPr="00042EE4" w:rsidRDefault="0006445A" w:rsidP="006E568B">
            <w:pPr>
              <w:spacing w:after="0" w:line="240" w:lineRule="auto"/>
              <w:jc w:val="center"/>
              <w:rPr>
                <w:b/>
                <w:bCs/>
              </w:rPr>
            </w:pPr>
            <w:r>
              <w:rPr>
                <w:b/>
                <w:bCs/>
              </w:rPr>
              <w:t xml:space="preserve">Table </w:t>
            </w:r>
            <w:r w:rsidR="003A5E5C">
              <w:rPr>
                <w:b/>
                <w:bCs/>
              </w:rPr>
              <w:t>10</w:t>
            </w:r>
            <w:r w:rsidR="00CD2918">
              <w:rPr>
                <w:b/>
                <w:bCs/>
              </w:rPr>
              <w:t>-</w:t>
            </w:r>
            <w:r w:rsidR="00F825B5">
              <w:rPr>
                <w:b/>
                <w:bCs/>
              </w:rPr>
              <w:t>4</w:t>
            </w:r>
            <w:r>
              <w:rPr>
                <w:b/>
                <w:bCs/>
              </w:rPr>
              <w:t xml:space="preserve">: </w:t>
            </w:r>
            <w:r w:rsidR="00EF2F3F">
              <w:rPr>
                <w:b/>
                <w:bCs/>
              </w:rPr>
              <w:t>Matrix Spike</w:t>
            </w:r>
            <w:r w:rsidR="00EF2F3F" w:rsidRPr="00042EE4">
              <w:rPr>
                <w:b/>
                <w:bCs/>
              </w:rPr>
              <w:t xml:space="preserve"> Actions for Cyanide </w:t>
            </w:r>
          </w:p>
        </w:tc>
      </w:tr>
      <w:tr w:rsidR="00EF2F3F" w14:paraId="26CACE9C" w14:textId="77777777" w:rsidTr="006E568B">
        <w:trPr>
          <w:trHeight w:val="305"/>
        </w:trPr>
        <w:tc>
          <w:tcPr>
            <w:tcW w:w="4515" w:type="dxa"/>
            <w:vMerge w:val="restart"/>
            <w:shd w:val="clear" w:color="auto" w:fill="D9D9D9" w:themeFill="background1" w:themeFillShade="D9"/>
            <w:vAlign w:val="center"/>
          </w:tcPr>
          <w:p w14:paraId="13B2EFC6" w14:textId="77777777" w:rsidR="00EF2F3F" w:rsidRPr="00042EE4" w:rsidRDefault="00EF2F3F" w:rsidP="006E568B">
            <w:pPr>
              <w:spacing w:after="0" w:line="240" w:lineRule="auto"/>
              <w:jc w:val="center"/>
              <w:rPr>
                <w:b/>
                <w:bCs/>
              </w:rPr>
            </w:pPr>
            <w:r w:rsidRPr="00042EE4">
              <w:rPr>
                <w:b/>
                <w:bCs/>
              </w:rPr>
              <w:t>Criteria</w:t>
            </w:r>
          </w:p>
        </w:tc>
        <w:tc>
          <w:tcPr>
            <w:tcW w:w="4845" w:type="dxa"/>
            <w:gridSpan w:val="2"/>
            <w:shd w:val="clear" w:color="auto" w:fill="D9D9D9" w:themeFill="background1" w:themeFillShade="D9"/>
            <w:vAlign w:val="center"/>
          </w:tcPr>
          <w:p w14:paraId="52A5340E" w14:textId="77777777" w:rsidR="00EF2F3F" w:rsidRPr="00042EE4" w:rsidRDefault="00EF2F3F" w:rsidP="006E568B">
            <w:pPr>
              <w:spacing w:after="0" w:line="240" w:lineRule="auto"/>
              <w:jc w:val="center"/>
              <w:rPr>
                <w:b/>
                <w:bCs/>
              </w:rPr>
            </w:pPr>
            <w:r w:rsidRPr="00042EE4">
              <w:rPr>
                <w:b/>
                <w:bCs/>
              </w:rPr>
              <w:t>Action</w:t>
            </w:r>
          </w:p>
        </w:tc>
      </w:tr>
      <w:tr w:rsidR="00EF2F3F" w14:paraId="14C9BF3B" w14:textId="77777777" w:rsidTr="006E568B">
        <w:trPr>
          <w:trHeight w:val="600"/>
        </w:trPr>
        <w:tc>
          <w:tcPr>
            <w:tcW w:w="4515" w:type="dxa"/>
            <w:vMerge/>
            <w:shd w:val="clear" w:color="auto" w:fill="D9D9D9" w:themeFill="background1" w:themeFillShade="D9"/>
          </w:tcPr>
          <w:p w14:paraId="4D650220" w14:textId="77777777" w:rsidR="00EF2F3F" w:rsidRDefault="00EF2F3F" w:rsidP="006E568B">
            <w:pPr>
              <w:spacing w:after="0" w:line="240" w:lineRule="auto"/>
            </w:pPr>
          </w:p>
        </w:tc>
        <w:tc>
          <w:tcPr>
            <w:tcW w:w="2400" w:type="dxa"/>
            <w:shd w:val="clear" w:color="auto" w:fill="D9D9D9" w:themeFill="background1" w:themeFillShade="D9"/>
            <w:vAlign w:val="center"/>
          </w:tcPr>
          <w:p w14:paraId="370F5C18" w14:textId="77777777" w:rsidR="00EF2F3F" w:rsidRPr="00042EE4" w:rsidRDefault="00EF2F3F" w:rsidP="006E568B">
            <w:pPr>
              <w:spacing w:after="0" w:line="240" w:lineRule="auto"/>
              <w:jc w:val="center"/>
              <w:rPr>
                <w:b/>
                <w:bCs/>
              </w:rPr>
            </w:pPr>
            <w:r w:rsidRPr="00042EE4">
              <w:rPr>
                <w:b/>
                <w:bCs/>
              </w:rPr>
              <w:t>Detect</w:t>
            </w:r>
          </w:p>
        </w:tc>
        <w:tc>
          <w:tcPr>
            <w:tcW w:w="2445" w:type="dxa"/>
            <w:shd w:val="clear" w:color="auto" w:fill="D9D9D9" w:themeFill="background1" w:themeFillShade="D9"/>
            <w:vAlign w:val="center"/>
          </w:tcPr>
          <w:p w14:paraId="634CCFB8" w14:textId="77777777" w:rsidR="00EF2F3F" w:rsidRPr="00042EE4" w:rsidRDefault="00EF2F3F" w:rsidP="006E568B">
            <w:pPr>
              <w:spacing w:after="0" w:line="240" w:lineRule="auto"/>
              <w:jc w:val="center"/>
              <w:rPr>
                <w:b/>
                <w:bCs/>
              </w:rPr>
            </w:pPr>
            <w:r w:rsidRPr="00042EE4">
              <w:rPr>
                <w:b/>
                <w:bCs/>
              </w:rPr>
              <w:t>Non-detect</w:t>
            </w:r>
          </w:p>
        </w:tc>
      </w:tr>
      <w:tr w:rsidR="006159F4" w14:paraId="7D90A4E6" w14:textId="77777777" w:rsidTr="006E568B">
        <w:trPr>
          <w:trHeight w:val="512"/>
        </w:trPr>
        <w:tc>
          <w:tcPr>
            <w:tcW w:w="4515" w:type="dxa"/>
          </w:tcPr>
          <w:p w14:paraId="1EB74866" w14:textId="54327AF7" w:rsidR="006159F4" w:rsidRDefault="00B16655" w:rsidP="006E568B">
            <w:pPr>
              <w:spacing w:after="0" w:line="240" w:lineRule="auto"/>
            </w:pPr>
            <w:r>
              <w:t>Matrix</w:t>
            </w:r>
            <w:r w:rsidR="00A57A6A">
              <w:t xml:space="preserve"> Spike not performed at the specified frequency</w:t>
            </w:r>
          </w:p>
        </w:tc>
        <w:tc>
          <w:tcPr>
            <w:tcW w:w="2400" w:type="dxa"/>
            <w:vAlign w:val="center"/>
          </w:tcPr>
          <w:p w14:paraId="7861225B" w14:textId="2FA4309F" w:rsidR="006159F4" w:rsidRDefault="00A57A6A" w:rsidP="006E568B">
            <w:pPr>
              <w:spacing w:after="0" w:line="240" w:lineRule="auto"/>
              <w:jc w:val="center"/>
            </w:pPr>
            <w:r>
              <w:t>J</w:t>
            </w:r>
          </w:p>
        </w:tc>
        <w:tc>
          <w:tcPr>
            <w:tcW w:w="2445" w:type="dxa"/>
            <w:vAlign w:val="center"/>
          </w:tcPr>
          <w:p w14:paraId="416FEAD4" w14:textId="54A47AFA" w:rsidR="006159F4" w:rsidRDefault="00A57A6A" w:rsidP="006E568B">
            <w:pPr>
              <w:spacing w:after="0" w:line="240" w:lineRule="auto"/>
              <w:jc w:val="center"/>
            </w:pPr>
            <w:r>
              <w:t>UJ</w:t>
            </w:r>
          </w:p>
        </w:tc>
      </w:tr>
      <w:tr w:rsidR="006159F4" w14:paraId="3371E7AF" w14:textId="77777777" w:rsidTr="006E568B">
        <w:trPr>
          <w:trHeight w:val="512"/>
        </w:trPr>
        <w:tc>
          <w:tcPr>
            <w:tcW w:w="4515" w:type="dxa"/>
          </w:tcPr>
          <w:p w14:paraId="1633493F" w14:textId="241B06C1" w:rsidR="006159F4" w:rsidRDefault="00A57A6A" w:rsidP="006E568B">
            <w:pPr>
              <w:spacing w:after="0" w:line="240" w:lineRule="auto"/>
            </w:pPr>
            <w:r>
              <w:t>Matrix Spike not prepared from a field sample</w:t>
            </w:r>
          </w:p>
        </w:tc>
        <w:tc>
          <w:tcPr>
            <w:tcW w:w="2400" w:type="dxa"/>
            <w:vAlign w:val="center"/>
          </w:tcPr>
          <w:p w14:paraId="488DBCB2" w14:textId="3BDEDC33" w:rsidR="006159F4" w:rsidRDefault="00A57A6A" w:rsidP="006E568B">
            <w:pPr>
              <w:spacing w:after="0" w:line="240" w:lineRule="auto"/>
              <w:jc w:val="center"/>
            </w:pPr>
            <w:r>
              <w:t>J</w:t>
            </w:r>
          </w:p>
        </w:tc>
        <w:tc>
          <w:tcPr>
            <w:tcW w:w="2445" w:type="dxa"/>
            <w:vAlign w:val="center"/>
          </w:tcPr>
          <w:p w14:paraId="008CC518" w14:textId="2BD81C1D" w:rsidR="006159F4" w:rsidRDefault="00A57A6A" w:rsidP="006E568B">
            <w:pPr>
              <w:spacing w:after="0" w:line="240" w:lineRule="auto"/>
              <w:jc w:val="center"/>
            </w:pPr>
            <w:r>
              <w:t>UJ</w:t>
            </w:r>
          </w:p>
        </w:tc>
      </w:tr>
      <w:tr w:rsidR="00EF2F3F" w14:paraId="356A3580" w14:textId="77777777" w:rsidTr="006E568B">
        <w:trPr>
          <w:trHeight w:val="512"/>
        </w:trPr>
        <w:tc>
          <w:tcPr>
            <w:tcW w:w="4515" w:type="dxa"/>
          </w:tcPr>
          <w:p w14:paraId="1AB9F7CD" w14:textId="77777777" w:rsidR="00EF2F3F" w:rsidRDefault="00EF2F3F" w:rsidP="006E568B">
            <w:pPr>
              <w:spacing w:after="0" w:line="240" w:lineRule="auto"/>
            </w:pPr>
            <w:r>
              <w:t>Matrix Spike %R &lt; 30%</w:t>
            </w:r>
          </w:p>
          <w:p w14:paraId="6B64443E" w14:textId="77777777" w:rsidR="00EF2F3F" w:rsidRDefault="00EF2F3F" w:rsidP="006E568B">
            <w:pPr>
              <w:spacing w:after="0" w:line="240" w:lineRule="auto"/>
            </w:pPr>
            <w:r>
              <w:t>Post-distillation spike %R &lt; 75%</w:t>
            </w:r>
          </w:p>
        </w:tc>
        <w:tc>
          <w:tcPr>
            <w:tcW w:w="2400" w:type="dxa"/>
            <w:vAlign w:val="center"/>
          </w:tcPr>
          <w:p w14:paraId="009AF763" w14:textId="77777777" w:rsidR="00EF2F3F" w:rsidRDefault="00EF2F3F" w:rsidP="006E568B">
            <w:pPr>
              <w:spacing w:after="0" w:line="240" w:lineRule="auto"/>
              <w:jc w:val="center"/>
            </w:pPr>
            <w:r>
              <w:t>J-</w:t>
            </w:r>
          </w:p>
        </w:tc>
        <w:tc>
          <w:tcPr>
            <w:tcW w:w="2445" w:type="dxa"/>
            <w:vAlign w:val="center"/>
          </w:tcPr>
          <w:p w14:paraId="541143FD" w14:textId="77777777" w:rsidR="00EF2F3F" w:rsidRDefault="00EF2F3F" w:rsidP="006E568B">
            <w:pPr>
              <w:spacing w:after="0" w:line="240" w:lineRule="auto"/>
              <w:jc w:val="center"/>
            </w:pPr>
            <w:r>
              <w:t>R</w:t>
            </w:r>
          </w:p>
        </w:tc>
      </w:tr>
      <w:tr w:rsidR="00EF2F3F" w14:paraId="1777BDD0" w14:textId="77777777" w:rsidTr="006E568B">
        <w:trPr>
          <w:trHeight w:val="503"/>
        </w:trPr>
        <w:tc>
          <w:tcPr>
            <w:tcW w:w="4515" w:type="dxa"/>
            <w:tcBorders>
              <w:top w:val="single" w:sz="4" w:space="0" w:color="auto"/>
              <w:left w:val="single" w:sz="4" w:space="0" w:color="auto"/>
              <w:bottom w:val="single" w:sz="4" w:space="0" w:color="auto"/>
              <w:right w:val="single" w:sz="4" w:space="0" w:color="auto"/>
            </w:tcBorders>
          </w:tcPr>
          <w:p w14:paraId="469346B7" w14:textId="77777777" w:rsidR="00EF2F3F" w:rsidRDefault="00EF2F3F" w:rsidP="006E568B">
            <w:pPr>
              <w:spacing w:after="0" w:line="240" w:lineRule="auto"/>
            </w:pPr>
            <w:r>
              <w:t>Matrix Spike %R &lt; 30%</w:t>
            </w:r>
          </w:p>
          <w:p w14:paraId="1B0CC4CE" w14:textId="77777777" w:rsidR="00EF2F3F" w:rsidRDefault="00EF2F3F" w:rsidP="006E568B">
            <w:pPr>
              <w:spacing w:after="0" w:line="240" w:lineRule="auto"/>
            </w:pPr>
            <w:r>
              <w:t>Post-distillation spike %R ≥ 75%</w:t>
            </w:r>
          </w:p>
        </w:tc>
        <w:tc>
          <w:tcPr>
            <w:tcW w:w="2400" w:type="dxa"/>
            <w:tcBorders>
              <w:top w:val="single" w:sz="4" w:space="0" w:color="auto"/>
              <w:left w:val="single" w:sz="4" w:space="0" w:color="auto"/>
              <w:bottom w:val="single" w:sz="4" w:space="0" w:color="auto"/>
              <w:right w:val="single" w:sz="4" w:space="0" w:color="auto"/>
            </w:tcBorders>
            <w:vAlign w:val="center"/>
          </w:tcPr>
          <w:p w14:paraId="53E6E302" w14:textId="77777777" w:rsidR="00EF2F3F" w:rsidRDefault="00EF2F3F" w:rsidP="006E568B">
            <w:pPr>
              <w:spacing w:after="0" w:line="240" w:lineRule="auto"/>
              <w:jc w:val="center"/>
            </w:pPr>
            <w:r>
              <w:t>J</w:t>
            </w:r>
          </w:p>
        </w:tc>
        <w:tc>
          <w:tcPr>
            <w:tcW w:w="2445" w:type="dxa"/>
            <w:tcBorders>
              <w:top w:val="single" w:sz="4" w:space="0" w:color="auto"/>
              <w:left w:val="single" w:sz="4" w:space="0" w:color="auto"/>
              <w:bottom w:val="single" w:sz="4" w:space="0" w:color="auto"/>
              <w:right w:val="single" w:sz="4" w:space="0" w:color="auto"/>
            </w:tcBorders>
            <w:vAlign w:val="center"/>
          </w:tcPr>
          <w:p w14:paraId="5B9FAB34" w14:textId="77777777" w:rsidR="00EF2F3F" w:rsidRDefault="00EF2F3F" w:rsidP="006E568B">
            <w:pPr>
              <w:spacing w:after="0" w:line="240" w:lineRule="auto"/>
              <w:jc w:val="center"/>
            </w:pPr>
            <w:r>
              <w:t>UJ</w:t>
            </w:r>
          </w:p>
        </w:tc>
      </w:tr>
      <w:tr w:rsidR="00EF2F3F" w14:paraId="3784D785" w14:textId="77777777" w:rsidTr="006E568B">
        <w:trPr>
          <w:trHeight w:val="125"/>
        </w:trPr>
        <w:tc>
          <w:tcPr>
            <w:tcW w:w="4515" w:type="dxa"/>
          </w:tcPr>
          <w:p w14:paraId="67B998D2" w14:textId="77777777" w:rsidR="00EF2F3F" w:rsidRDefault="00EF2F3F" w:rsidP="006E568B">
            <w:pPr>
              <w:spacing w:after="0" w:line="240" w:lineRule="auto"/>
            </w:pPr>
            <w:r>
              <w:t>Matrix Spike %R 30-74%</w:t>
            </w:r>
          </w:p>
          <w:p w14:paraId="56289C56" w14:textId="77777777" w:rsidR="00EF2F3F" w:rsidRDefault="00EF2F3F" w:rsidP="006E568B">
            <w:pPr>
              <w:spacing w:after="0" w:line="240" w:lineRule="auto"/>
            </w:pPr>
            <w:r>
              <w:t>Post-distillation spike %R &lt; 75%</w:t>
            </w:r>
          </w:p>
        </w:tc>
        <w:tc>
          <w:tcPr>
            <w:tcW w:w="2400" w:type="dxa"/>
            <w:vAlign w:val="center"/>
          </w:tcPr>
          <w:p w14:paraId="6F02663B" w14:textId="77777777" w:rsidR="00EF2F3F" w:rsidRDefault="00EF2F3F" w:rsidP="006E568B">
            <w:pPr>
              <w:spacing w:after="0" w:line="240" w:lineRule="auto"/>
              <w:jc w:val="center"/>
            </w:pPr>
            <w:r>
              <w:t>J-</w:t>
            </w:r>
          </w:p>
        </w:tc>
        <w:tc>
          <w:tcPr>
            <w:tcW w:w="2445" w:type="dxa"/>
            <w:vAlign w:val="center"/>
          </w:tcPr>
          <w:p w14:paraId="4A18E137" w14:textId="77777777" w:rsidR="00EF2F3F" w:rsidRDefault="00EF2F3F" w:rsidP="006E568B">
            <w:pPr>
              <w:spacing w:after="0" w:line="240" w:lineRule="auto"/>
              <w:jc w:val="center"/>
            </w:pPr>
            <w:r>
              <w:t>UJ</w:t>
            </w:r>
          </w:p>
        </w:tc>
      </w:tr>
      <w:tr w:rsidR="00EF2F3F" w14:paraId="650305F0" w14:textId="77777777" w:rsidTr="006E568B">
        <w:trPr>
          <w:trHeight w:val="125"/>
        </w:trPr>
        <w:tc>
          <w:tcPr>
            <w:tcW w:w="4515" w:type="dxa"/>
            <w:tcBorders>
              <w:top w:val="single" w:sz="4" w:space="0" w:color="auto"/>
              <w:left w:val="single" w:sz="4" w:space="0" w:color="auto"/>
              <w:bottom w:val="single" w:sz="4" w:space="0" w:color="auto"/>
              <w:right w:val="single" w:sz="4" w:space="0" w:color="auto"/>
            </w:tcBorders>
          </w:tcPr>
          <w:p w14:paraId="7E4CC94D" w14:textId="77777777" w:rsidR="00EF2F3F" w:rsidRDefault="00EF2F3F" w:rsidP="006E568B">
            <w:pPr>
              <w:spacing w:after="0" w:line="240" w:lineRule="auto"/>
            </w:pPr>
            <w:r>
              <w:t>Matrix Spike %R 30-74%</w:t>
            </w:r>
          </w:p>
          <w:p w14:paraId="62D393D2" w14:textId="77777777" w:rsidR="00EF2F3F" w:rsidRDefault="00EF2F3F" w:rsidP="006E568B">
            <w:pPr>
              <w:spacing w:after="0" w:line="240" w:lineRule="auto"/>
            </w:pPr>
            <w:r>
              <w:t>Post-distillation spike %R ≥ 75%</w:t>
            </w:r>
          </w:p>
        </w:tc>
        <w:tc>
          <w:tcPr>
            <w:tcW w:w="2400" w:type="dxa"/>
            <w:tcBorders>
              <w:top w:val="single" w:sz="4" w:space="0" w:color="auto"/>
              <w:left w:val="single" w:sz="4" w:space="0" w:color="auto"/>
              <w:bottom w:val="single" w:sz="4" w:space="0" w:color="auto"/>
              <w:right w:val="single" w:sz="4" w:space="0" w:color="auto"/>
            </w:tcBorders>
            <w:vAlign w:val="center"/>
          </w:tcPr>
          <w:p w14:paraId="69DABB13" w14:textId="77777777" w:rsidR="00EF2F3F" w:rsidRDefault="00EF2F3F" w:rsidP="006E568B">
            <w:pPr>
              <w:spacing w:after="0" w:line="240" w:lineRule="auto"/>
              <w:jc w:val="center"/>
            </w:pPr>
            <w:r>
              <w:t>J</w:t>
            </w:r>
          </w:p>
        </w:tc>
        <w:tc>
          <w:tcPr>
            <w:tcW w:w="2445" w:type="dxa"/>
            <w:tcBorders>
              <w:top w:val="single" w:sz="4" w:space="0" w:color="auto"/>
              <w:left w:val="single" w:sz="4" w:space="0" w:color="auto"/>
              <w:bottom w:val="single" w:sz="4" w:space="0" w:color="auto"/>
              <w:right w:val="single" w:sz="4" w:space="0" w:color="auto"/>
            </w:tcBorders>
            <w:vAlign w:val="center"/>
          </w:tcPr>
          <w:p w14:paraId="0747B54D" w14:textId="77777777" w:rsidR="00EF2F3F" w:rsidRDefault="00EF2F3F" w:rsidP="006E568B">
            <w:pPr>
              <w:spacing w:after="0" w:line="240" w:lineRule="auto"/>
              <w:jc w:val="center"/>
            </w:pPr>
            <w:r>
              <w:t>UJ</w:t>
            </w:r>
          </w:p>
        </w:tc>
      </w:tr>
      <w:tr w:rsidR="00EF2F3F" w14:paraId="011A1C1E" w14:textId="77777777" w:rsidTr="006E568B">
        <w:trPr>
          <w:trHeight w:val="197"/>
        </w:trPr>
        <w:tc>
          <w:tcPr>
            <w:tcW w:w="4515" w:type="dxa"/>
          </w:tcPr>
          <w:p w14:paraId="4007C684" w14:textId="77777777" w:rsidR="00EF2F3F" w:rsidRDefault="00EF2F3F" w:rsidP="006E568B">
            <w:pPr>
              <w:spacing w:after="0" w:line="240" w:lineRule="auto"/>
            </w:pPr>
            <w:r>
              <w:t>Matrix Spike %R &gt; 125%</w:t>
            </w:r>
          </w:p>
          <w:p w14:paraId="0557993D" w14:textId="77777777" w:rsidR="00EF2F3F" w:rsidRDefault="00EF2F3F" w:rsidP="006E568B">
            <w:pPr>
              <w:spacing w:after="0" w:line="240" w:lineRule="auto"/>
            </w:pPr>
            <w:r>
              <w:t>Post-distillation spike %R &gt; 125%</w:t>
            </w:r>
          </w:p>
        </w:tc>
        <w:tc>
          <w:tcPr>
            <w:tcW w:w="2400" w:type="dxa"/>
            <w:vAlign w:val="center"/>
          </w:tcPr>
          <w:p w14:paraId="0C9E6020" w14:textId="77777777" w:rsidR="00EF2F3F" w:rsidRDefault="00EF2F3F" w:rsidP="006E568B">
            <w:pPr>
              <w:spacing w:after="0" w:line="240" w:lineRule="auto"/>
              <w:jc w:val="center"/>
            </w:pPr>
            <w:r>
              <w:t>J+</w:t>
            </w:r>
          </w:p>
        </w:tc>
        <w:tc>
          <w:tcPr>
            <w:tcW w:w="2445" w:type="dxa"/>
            <w:vAlign w:val="center"/>
          </w:tcPr>
          <w:p w14:paraId="32DA707C" w14:textId="77777777" w:rsidR="00EF2F3F" w:rsidRDefault="00EF2F3F" w:rsidP="006E568B">
            <w:pPr>
              <w:spacing w:after="0" w:line="240" w:lineRule="auto"/>
              <w:jc w:val="center"/>
            </w:pPr>
            <w:r>
              <w:t>No qualification</w:t>
            </w:r>
          </w:p>
        </w:tc>
      </w:tr>
      <w:tr w:rsidR="00EF2F3F" w14:paraId="23D0DEE4" w14:textId="77777777" w:rsidTr="006E568B">
        <w:trPr>
          <w:trHeight w:val="278"/>
        </w:trPr>
        <w:tc>
          <w:tcPr>
            <w:tcW w:w="4515" w:type="dxa"/>
          </w:tcPr>
          <w:p w14:paraId="61B560EC" w14:textId="77777777" w:rsidR="00EF2F3F" w:rsidRDefault="00EF2F3F" w:rsidP="006E568B">
            <w:pPr>
              <w:spacing w:after="0" w:line="240" w:lineRule="auto"/>
            </w:pPr>
            <w:r>
              <w:t>Matrix Spike %R &gt; 125%</w:t>
            </w:r>
          </w:p>
          <w:p w14:paraId="06541628" w14:textId="77777777" w:rsidR="00EF2F3F" w:rsidRDefault="00EF2F3F" w:rsidP="006E568B">
            <w:pPr>
              <w:spacing w:after="0" w:line="240" w:lineRule="auto"/>
            </w:pPr>
            <w:r>
              <w:t>Post-distillation spike %R ≤ 125%</w:t>
            </w:r>
          </w:p>
        </w:tc>
        <w:tc>
          <w:tcPr>
            <w:tcW w:w="2400" w:type="dxa"/>
            <w:vAlign w:val="center"/>
          </w:tcPr>
          <w:p w14:paraId="62E2A1FE" w14:textId="77777777" w:rsidR="00EF2F3F" w:rsidRDefault="00EF2F3F" w:rsidP="006E568B">
            <w:pPr>
              <w:spacing w:after="0" w:line="240" w:lineRule="auto"/>
              <w:jc w:val="center"/>
            </w:pPr>
            <w:r>
              <w:t>J</w:t>
            </w:r>
          </w:p>
        </w:tc>
        <w:tc>
          <w:tcPr>
            <w:tcW w:w="2445" w:type="dxa"/>
            <w:vAlign w:val="center"/>
          </w:tcPr>
          <w:p w14:paraId="2B6D8695" w14:textId="77777777" w:rsidR="00EF2F3F" w:rsidRDefault="00EF2F3F" w:rsidP="006E568B">
            <w:pPr>
              <w:spacing w:after="0" w:line="240" w:lineRule="auto"/>
              <w:jc w:val="center"/>
            </w:pPr>
            <w:r>
              <w:t>No qualification</w:t>
            </w:r>
          </w:p>
        </w:tc>
      </w:tr>
      <w:tr w:rsidR="00EF2F3F" w14:paraId="6965EAF3" w14:textId="77777777" w:rsidTr="006E568B">
        <w:trPr>
          <w:trHeight w:val="458"/>
        </w:trPr>
        <w:tc>
          <w:tcPr>
            <w:tcW w:w="4515" w:type="dxa"/>
          </w:tcPr>
          <w:p w14:paraId="1F03A5B9" w14:textId="77777777" w:rsidR="00EF2F3F" w:rsidRDefault="00EF2F3F" w:rsidP="006E568B">
            <w:pPr>
              <w:spacing w:after="0" w:line="240" w:lineRule="auto"/>
            </w:pPr>
            <w:r>
              <w:t>Matrix Spike %R &lt; 30%</w:t>
            </w:r>
          </w:p>
          <w:p w14:paraId="69F97C54" w14:textId="77777777" w:rsidR="00EF2F3F" w:rsidRDefault="00EF2F3F" w:rsidP="006E568B">
            <w:pPr>
              <w:spacing w:after="0" w:line="240" w:lineRule="auto"/>
            </w:pPr>
            <w:r>
              <w:t>No post-distillation spike performed</w:t>
            </w:r>
          </w:p>
        </w:tc>
        <w:tc>
          <w:tcPr>
            <w:tcW w:w="2400" w:type="dxa"/>
            <w:vAlign w:val="center"/>
          </w:tcPr>
          <w:p w14:paraId="23237F5B" w14:textId="77777777" w:rsidR="00EF2F3F" w:rsidRDefault="00EF2F3F" w:rsidP="006E568B">
            <w:pPr>
              <w:spacing w:after="0" w:line="240" w:lineRule="auto"/>
              <w:jc w:val="center"/>
            </w:pPr>
            <w:r>
              <w:t>J-</w:t>
            </w:r>
          </w:p>
        </w:tc>
        <w:tc>
          <w:tcPr>
            <w:tcW w:w="2445" w:type="dxa"/>
            <w:vAlign w:val="center"/>
          </w:tcPr>
          <w:p w14:paraId="23D97B8F" w14:textId="77777777" w:rsidR="00EF2F3F" w:rsidRDefault="00EF2F3F" w:rsidP="006E568B">
            <w:pPr>
              <w:spacing w:after="0" w:line="240" w:lineRule="auto"/>
              <w:jc w:val="center"/>
            </w:pPr>
            <w:r>
              <w:t>R</w:t>
            </w:r>
          </w:p>
        </w:tc>
      </w:tr>
      <w:tr w:rsidR="00EF2F3F" w14:paraId="2A2C7ACC" w14:textId="77777777" w:rsidTr="006E568B">
        <w:trPr>
          <w:trHeight w:val="440"/>
        </w:trPr>
        <w:tc>
          <w:tcPr>
            <w:tcW w:w="4515" w:type="dxa"/>
          </w:tcPr>
          <w:p w14:paraId="05F3497E" w14:textId="77777777" w:rsidR="00EF2F3F" w:rsidRDefault="00EF2F3F" w:rsidP="006E568B">
            <w:pPr>
              <w:spacing w:after="0" w:line="240" w:lineRule="auto"/>
            </w:pPr>
            <w:r>
              <w:t>Matrix Spike %R 30-74%</w:t>
            </w:r>
          </w:p>
          <w:p w14:paraId="615718C0" w14:textId="77777777" w:rsidR="00EF2F3F" w:rsidRDefault="00EF2F3F" w:rsidP="006E568B">
            <w:pPr>
              <w:spacing w:after="0" w:line="240" w:lineRule="auto"/>
            </w:pPr>
            <w:r>
              <w:t>No post-distillation spike performed</w:t>
            </w:r>
          </w:p>
        </w:tc>
        <w:tc>
          <w:tcPr>
            <w:tcW w:w="2400" w:type="dxa"/>
            <w:vAlign w:val="center"/>
          </w:tcPr>
          <w:p w14:paraId="655D5D82" w14:textId="77777777" w:rsidR="00EF2F3F" w:rsidRDefault="00EF2F3F" w:rsidP="006E568B">
            <w:pPr>
              <w:spacing w:after="0" w:line="240" w:lineRule="auto"/>
              <w:jc w:val="center"/>
            </w:pPr>
            <w:r>
              <w:t>J-</w:t>
            </w:r>
          </w:p>
        </w:tc>
        <w:tc>
          <w:tcPr>
            <w:tcW w:w="2445" w:type="dxa"/>
            <w:vAlign w:val="center"/>
          </w:tcPr>
          <w:p w14:paraId="49D9234F" w14:textId="77777777" w:rsidR="00EF2F3F" w:rsidRDefault="00EF2F3F" w:rsidP="006E568B">
            <w:pPr>
              <w:spacing w:after="0" w:line="240" w:lineRule="auto"/>
              <w:jc w:val="center"/>
            </w:pPr>
            <w:r>
              <w:t>UJ</w:t>
            </w:r>
          </w:p>
        </w:tc>
      </w:tr>
      <w:tr w:rsidR="00EF2F3F" w14:paraId="1CF652B8" w14:textId="77777777" w:rsidTr="006E568B">
        <w:trPr>
          <w:trHeight w:val="70"/>
        </w:trPr>
        <w:tc>
          <w:tcPr>
            <w:tcW w:w="4515" w:type="dxa"/>
          </w:tcPr>
          <w:p w14:paraId="076FA992" w14:textId="77777777" w:rsidR="00EF2F3F" w:rsidRDefault="00EF2F3F" w:rsidP="006E568B">
            <w:pPr>
              <w:spacing w:after="0" w:line="240" w:lineRule="auto"/>
            </w:pPr>
            <w:r>
              <w:t>Matrix Spike %R 75-125%</w:t>
            </w:r>
          </w:p>
          <w:p w14:paraId="61C90820" w14:textId="77777777" w:rsidR="00EF2F3F" w:rsidRDefault="00EF2F3F" w:rsidP="006E568B">
            <w:pPr>
              <w:spacing w:after="0" w:line="240" w:lineRule="auto"/>
            </w:pPr>
            <w:r>
              <w:t>No post-distillation is required</w:t>
            </w:r>
          </w:p>
        </w:tc>
        <w:tc>
          <w:tcPr>
            <w:tcW w:w="2400" w:type="dxa"/>
            <w:vAlign w:val="center"/>
          </w:tcPr>
          <w:p w14:paraId="78499567" w14:textId="77777777" w:rsidR="00EF2F3F" w:rsidRDefault="00EF2F3F" w:rsidP="006E568B">
            <w:pPr>
              <w:spacing w:after="0" w:line="240" w:lineRule="auto"/>
              <w:jc w:val="center"/>
            </w:pPr>
            <w:r>
              <w:t>No qualification</w:t>
            </w:r>
          </w:p>
        </w:tc>
        <w:tc>
          <w:tcPr>
            <w:tcW w:w="2445" w:type="dxa"/>
            <w:vAlign w:val="center"/>
          </w:tcPr>
          <w:p w14:paraId="39F59232" w14:textId="77777777" w:rsidR="00EF2F3F" w:rsidRDefault="00EF2F3F" w:rsidP="006E568B">
            <w:pPr>
              <w:spacing w:after="0" w:line="240" w:lineRule="auto"/>
              <w:jc w:val="center"/>
            </w:pPr>
            <w:r>
              <w:t>No qualification</w:t>
            </w:r>
          </w:p>
        </w:tc>
      </w:tr>
      <w:tr w:rsidR="00EF2F3F" w14:paraId="499E1B04" w14:textId="77777777" w:rsidTr="006E568B">
        <w:trPr>
          <w:trHeight w:val="70"/>
        </w:trPr>
        <w:tc>
          <w:tcPr>
            <w:tcW w:w="4515" w:type="dxa"/>
          </w:tcPr>
          <w:p w14:paraId="30D02C6B" w14:textId="77777777" w:rsidR="00EF2F3F" w:rsidRDefault="00EF2F3F" w:rsidP="006E568B">
            <w:pPr>
              <w:spacing w:after="0" w:line="240" w:lineRule="auto"/>
            </w:pPr>
            <w:r>
              <w:t>Matrix Spike %R &gt; 125%</w:t>
            </w:r>
          </w:p>
          <w:p w14:paraId="3D44DAF7" w14:textId="77777777" w:rsidR="00EF2F3F" w:rsidRDefault="00EF2F3F" w:rsidP="006E568B">
            <w:pPr>
              <w:spacing w:after="0" w:line="240" w:lineRule="auto"/>
            </w:pPr>
            <w:r>
              <w:t>No post-distillation spike performed</w:t>
            </w:r>
          </w:p>
        </w:tc>
        <w:tc>
          <w:tcPr>
            <w:tcW w:w="2400" w:type="dxa"/>
            <w:vAlign w:val="center"/>
          </w:tcPr>
          <w:p w14:paraId="15910442" w14:textId="77777777" w:rsidR="00EF2F3F" w:rsidRDefault="00EF2F3F" w:rsidP="006E568B">
            <w:pPr>
              <w:spacing w:after="0" w:line="240" w:lineRule="auto"/>
              <w:jc w:val="center"/>
            </w:pPr>
            <w:r>
              <w:t>J+</w:t>
            </w:r>
          </w:p>
        </w:tc>
        <w:tc>
          <w:tcPr>
            <w:tcW w:w="2445" w:type="dxa"/>
            <w:vAlign w:val="center"/>
          </w:tcPr>
          <w:p w14:paraId="775D193C" w14:textId="77777777" w:rsidR="00EF2F3F" w:rsidRDefault="00EF2F3F" w:rsidP="006E568B">
            <w:pPr>
              <w:spacing w:after="0" w:line="240" w:lineRule="auto"/>
              <w:jc w:val="center"/>
            </w:pPr>
            <w:r>
              <w:t>No qualification</w:t>
            </w:r>
          </w:p>
        </w:tc>
      </w:tr>
    </w:tbl>
    <w:p w14:paraId="5AD79BAC" w14:textId="22299EDF" w:rsidR="000152C2" w:rsidRDefault="000152C2" w:rsidP="00435788">
      <w:pPr>
        <w:spacing w:after="0" w:line="240" w:lineRule="auto"/>
      </w:pPr>
      <w:r w:rsidRPr="008B203C">
        <w:t xml:space="preserve">NOTE: </w:t>
      </w:r>
      <w:r w:rsidR="00A814C4">
        <w:t>P</w:t>
      </w:r>
      <w:r w:rsidRPr="008B203C">
        <w:t>roject DQOs may allow the use of less restrictive criteria (</w:t>
      </w:r>
      <w:r w:rsidRPr="00A814C4">
        <w:rPr>
          <w:i/>
          <w:iCs/>
        </w:rPr>
        <w:t>e.g.</w:t>
      </w:r>
      <w:r w:rsidRPr="008B203C">
        <w:t>, 10 %R and 150 %R for the lower and upper limits) to be assessed against spike soil samples</w:t>
      </w:r>
      <w:r w:rsidR="00A814C4">
        <w:t xml:space="preserve"> due to </w:t>
      </w:r>
      <w:r w:rsidR="00A814C4" w:rsidRPr="008B203C">
        <w:t>laboratory variability arising from the sub-sampling of non-homogenous soil samples</w:t>
      </w:r>
      <w:r w:rsidRPr="008B203C">
        <w:t>.</w:t>
      </w:r>
    </w:p>
    <w:p w14:paraId="31C09F03" w14:textId="77777777" w:rsidR="00435788" w:rsidRDefault="00435788" w:rsidP="00435788">
      <w:pPr>
        <w:spacing w:after="0" w:line="240" w:lineRule="auto"/>
      </w:pPr>
    </w:p>
    <w:p w14:paraId="0B5FB9B0" w14:textId="1AA936E8" w:rsidR="006567C7" w:rsidRDefault="006567C7" w:rsidP="006567C7"/>
    <w:p w14:paraId="77E55723" w14:textId="77777777" w:rsidR="006E568B" w:rsidRDefault="006E568B"/>
    <w:sectPr w:rsidR="006E568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63851" w14:textId="77777777" w:rsidR="005767C1" w:rsidRDefault="005767C1" w:rsidP="006567C7">
      <w:pPr>
        <w:spacing w:after="0" w:line="240" w:lineRule="auto"/>
      </w:pPr>
      <w:r>
        <w:separator/>
      </w:r>
    </w:p>
  </w:endnote>
  <w:endnote w:type="continuationSeparator" w:id="0">
    <w:p w14:paraId="7EC0AFB7" w14:textId="77777777" w:rsidR="005767C1" w:rsidRDefault="005767C1" w:rsidP="006567C7">
      <w:pPr>
        <w:spacing w:after="0" w:line="240" w:lineRule="auto"/>
      </w:pPr>
      <w:r>
        <w:continuationSeparator/>
      </w:r>
    </w:p>
  </w:endnote>
  <w:endnote w:type="continuationNotice" w:id="1">
    <w:p w14:paraId="5182C113" w14:textId="77777777" w:rsidR="005767C1" w:rsidRDefault="00576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A2A3" w14:textId="77777777" w:rsidR="00D80BD0" w:rsidRDefault="00D80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E48B" w14:textId="77777777" w:rsidR="00D80BD0" w:rsidRDefault="00D80B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00F1" w14:textId="77777777" w:rsidR="00D80BD0" w:rsidRDefault="00D80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2546" w14:textId="77777777" w:rsidR="005767C1" w:rsidRDefault="005767C1" w:rsidP="006567C7">
      <w:pPr>
        <w:spacing w:after="0" w:line="240" w:lineRule="auto"/>
      </w:pPr>
      <w:r>
        <w:separator/>
      </w:r>
    </w:p>
  </w:footnote>
  <w:footnote w:type="continuationSeparator" w:id="0">
    <w:p w14:paraId="5149FC31" w14:textId="77777777" w:rsidR="005767C1" w:rsidRDefault="005767C1" w:rsidP="006567C7">
      <w:pPr>
        <w:spacing w:after="0" w:line="240" w:lineRule="auto"/>
      </w:pPr>
      <w:r>
        <w:continuationSeparator/>
      </w:r>
    </w:p>
  </w:footnote>
  <w:footnote w:type="continuationNotice" w:id="1">
    <w:p w14:paraId="675CC8D1" w14:textId="77777777" w:rsidR="005767C1" w:rsidRDefault="005767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CA6F" w14:textId="77777777" w:rsidR="00D80BD0" w:rsidRDefault="00D80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rPr>
      <w:id w:val="-1958009387"/>
      <w:docPartObj>
        <w:docPartGallery w:val="Page Numbers (Top of Page)"/>
        <w:docPartUnique/>
      </w:docPartObj>
    </w:sdtPr>
    <w:sdtEndPr>
      <w:rPr>
        <w:b/>
        <w:bCs/>
        <w:noProof/>
        <w:color w:val="auto"/>
      </w:rPr>
    </w:sdtEndPr>
    <w:sdtContent>
      <w:p w14:paraId="35999106" w14:textId="0820333B" w:rsidR="006567C7" w:rsidRPr="002F3534" w:rsidRDefault="006567C7" w:rsidP="006567C7">
        <w:pPr>
          <w:pStyle w:val="Header"/>
          <w:pBdr>
            <w:bottom w:val="single" w:sz="4" w:space="1" w:color="D9D9D9" w:themeColor="background1" w:themeShade="D9"/>
          </w:pBdr>
          <w:rPr>
            <w:color w:val="7F7F7F" w:themeColor="background1" w:themeShade="7F"/>
          </w:rPr>
        </w:pPr>
        <w:r w:rsidRPr="002F3534">
          <w:rPr>
            <w:color w:val="7F7F7F" w:themeColor="background1" w:themeShade="7F"/>
          </w:rPr>
          <w:t>Tier I Checklist #</w:t>
        </w:r>
        <w:r w:rsidR="002F3534">
          <w:rPr>
            <w:color w:val="7F7F7F" w:themeColor="background1" w:themeShade="7F"/>
          </w:rPr>
          <w:t>10</w:t>
        </w:r>
      </w:p>
      <w:p w14:paraId="5F5D50EB" w14:textId="4A7507EE" w:rsidR="006567C7" w:rsidRPr="002F3534" w:rsidRDefault="00D80BD0" w:rsidP="006567C7">
        <w:pPr>
          <w:pStyle w:val="Header"/>
          <w:pBdr>
            <w:bottom w:val="single" w:sz="4" w:space="1" w:color="D9D9D9" w:themeColor="background1" w:themeShade="D9"/>
          </w:pBdr>
          <w:rPr>
            <w:b/>
            <w:bCs/>
          </w:rPr>
        </w:pPr>
        <w:r>
          <w:rPr>
            <w:color w:val="7F7F7F" w:themeColor="background1" w:themeShade="7F"/>
          </w:rPr>
          <w:t>May 2023</w:t>
        </w:r>
        <w:r w:rsidR="006567C7" w:rsidRPr="002F3534">
          <w:rPr>
            <w:color w:val="7F7F7F" w:themeColor="background1" w:themeShade="7F"/>
          </w:rPr>
          <w:tab/>
        </w:r>
        <w:r w:rsidR="006567C7" w:rsidRPr="002F3534">
          <w:rPr>
            <w:color w:val="7F7F7F" w:themeColor="background1" w:themeShade="7F"/>
          </w:rPr>
          <w:tab/>
          <w:t>Page</w:t>
        </w:r>
        <w:r w:rsidR="006567C7" w:rsidRPr="002F3534">
          <w:t xml:space="preserve"> | </w:t>
        </w:r>
        <w:r w:rsidR="006567C7" w:rsidRPr="002F3534">
          <w:fldChar w:fldCharType="begin"/>
        </w:r>
        <w:r w:rsidR="006567C7" w:rsidRPr="002F3534">
          <w:instrText xml:space="preserve"> PAGE   \* MERGEFORMAT </w:instrText>
        </w:r>
        <w:r w:rsidR="006567C7" w:rsidRPr="002F3534">
          <w:fldChar w:fldCharType="separate"/>
        </w:r>
        <w:r w:rsidR="006567C7" w:rsidRPr="002F3534">
          <w:t>11</w:t>
        </w:r>
        <w:r w:rsidR="006567C7" w:rsidRPr="002F3534">
          <w:rPr>
            <w:b/>
            <w:bCs/>
            <w:noProof/>
          </w:rPr>
          <w:fldChar w:fldCharType="end"/>
        </w:r>
      </w:p>
    </w:sdtContent>
  </w:sdt>
  <w:p w14:paraId="6A5EF47F" w14:textId="77777777" w:rsidR="006567C7" w:rsidRDefault="00656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9193" w14:textId="77777777" w:rsidR="00D80BD0" w:rsidRDefault="00D80B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C7"/>
    <w:rsid w:val="00001302"/>
    <w:rsid w:val="00010B18"/>
    <w:rsid w:val="000118A5"/>
    <w:rsid w:val="000152C2"/>
    <w:rsid w:val="00022001"/>
    <w:rsid w:val="00022C0E"/>
    <w:rsid w:val="0003166B"/>
    <w:rsid w:val="0004113A"/>
    <w:rsid w:val="000457C2"/>
    <w:rsid w:val="000509A6"/>
    <w:rsid w:val="0005750B"/>
    <w:rsid w:val="0006039A"/>
    <w:rsid w:val="00062581"/>
    <w:rsid w:val="0006445A"/>
    <w:rsid w:val="00075134"/>
    <w:rsid w:val="000A5B0B"/>
    <w:rsid w:val="000A7CDC"/>
    <w:rsid w:val="000B2A9A"/>
    <w:rsid w:val="00117041"/>
    <w:rsid w:val="00125127"/>
    <w:rsid w:val="001267FF"/>
    <w:rsid w:val="001338F0"/>
    <w:rsid w:val="00146882"/>
    <w:rsid w:val="00153A9D"/>
    <w:rsid w:val="0016130D"/>
    <w:rsid w:val="0017703B"/>
    <w:rsid w:val="00182EEE"/>
    <w:rsid w:val="001963E2"/>
    <w:rsid w:val="00197740"/>
    <w:rsid w:val="001A3DFD"/>
    <w:rsid w:val="001B2B15"/>
    <w:rsid w:val="001B69A9"/>
    <w:rsid w:val="001C7FCD"/>
    <w:rsid w:val="001E1DF5"/>
    <w:rsid w:val="001E20D4"/>
    <w:rsid w:val="001E282D"/>
    <w:rsid w:val="00216ABC"/>
    <w:rsid w:val="0023676B"/>
    <w:rsid w:val="0024247B"/>
    <w:rsid w:val="00251C36"/>
    <w:rsid w:val="00260FAA"/>
    <w:rsid w:val="00261EB5"/>
    <w:rsid w:val="00266F46"/>
    <w:rsid w:val="00286513"/>
    <w:rsid w:val="0029014D"/>
    <w:rsid w:val="002909CD"/>
    <w:rsid w:val="002939F0"/>
    <w:rsid w:val="00295573"/>
    <w:rsid w:val="002A3280"/>
    <w:rsid w:val="002A41BE"/>
    <w:rsid w:val="002A6987"/>
    <w:rsid w:val="002E136F"/>
    <w:rsid w:val="002E3BC1"/>
    <w:rsid w:val="002F3534"/>
    <w:rsid w:val="00313687"/>
    <w:rsid w:val="00321428"/>
    <w:rsid w:val="00326479"/>
    <w:rsid w:val="003332B9"/>
    <w:rsid w:val="00335D82"/>
    <w:rsid w:val="0037375C"/>
    <w:rsid w:val="00380087"/>
    <w:rsid w:val="003A2B76"/>
    <w:rsid w:val="003A554D"/>
    <w:rsid w:val="003A5E5C"/>
    <w:rsid w:val="003C27F2"/>
    <w:rsid w:val="003C6037"/>
    <w:rsid w:val="003D0572"/>
    <w:rsid w:val="003E687A"/>
    <w:rsid w:val="003E78B5"/>
    <w:rsid w:val="003F5AAA"/>
    <w:rsid w:val="003F6DC2"/>
    <w:rsid w:val="00402A84"/>
    <w:rsid w:val="00407B37"/>
    <w:rsid w:val="0041002E"/>
    <w:rsid w:val="004214DA"/>
    <w:rsid w:val="00422BE1"/>
    <w:rsid w:val="00423CD9"/>
    <w:rsid w:val="00435788"/>
    <w:rsid w:val="00437704"/>
    <w:rsid w:val="00464582"/>
    <w:rsid w:val="0048092F"/>
    <w:rsid w:val="00482BFD"/>
    <w:rsid w:val="00492D1E"/>
    <w:rsid w:val="004958A9"/>
    <w:rsid w:val="004B0FD8"/>
    <w:rsid w:val="004B1400"/>
    <w:rsid w:val="004C3DDD"/>
    <w:rsid w:val="004D2604"/>
    <w:rsid w:val="004D49EB"/>
    <w:rsid w:val="004D4D95"/>
    <w:rsid w:val="004D6424"/>
    <w:rsid w:val="004D6C88"/>
    <w:rsid w:val="004D7920"/>
    <w:rsid w:val="004E4C39"/>
    <w:rsid w:val="00511C57"/>
    <w:rsid w:val="00513709"/>
    <w:rsid w:val="00514939"/>
    <w:rsid w:val="00522AD6"/>
    <w:rsid w:val="00525BEA"/>
    <w:rsid w:val="00536094"/>
    <w:rsid w:val="00537D11"/>
    <w:rsid w:val="0054765B"/>
    <w:rsid w:val="005767C1"/>
    <w:rsid w:val="0058209D"/>
    <w:rsid w:val="005909EF"/>
    <w:rsid w:val="005A0376"/>
    <w:rsid w:val="005A09FC"/>
    <w:rsid w:val="005A3CF6"/>
    <w:rsid w:val="005A7F5C"/>
    <w:rsid w:val="005C4B4B"/>
    <w:rsid w:val="005D36F4"/>
    <w:rsid w:val="005D4245"/>
    <w:rsid w:val="005F0E17"/>
    <w:rsid w:val="00605AE1"/>
    <w:rsid w:val="00611D35"/>
    <w:rsid w:val="006159F4"/>
    <w:rsid w:val="0062121A"/>
    <w:rsid w:val="00632DF1"/>
    <w:rsid w:val="006365B6"/>
    <w:rsid w:val="00644892"/>
    <w:rsid w:val="00647F88"/>
    <w:rsid w:val="0065084B"/>
    <w:rsid w:val="006567C7"/>
    <w:rsid w:val="0066086F"/>
    <w:rsid w:val="006663E9"/>
    <w:rsid w:val="006720C4"/>
    <w:rsid w:val="00672755"/>
    <w:rsid w:val="006774D9"/>
    <w:rsid w:val="006947C4"/>
    <w:rsid w:val="006A0BD6"/>
    <w:rsid w:val="006A219A"/>
    <w:rsid w:val="006A556E"/>
    <w:rsid w:val="006C3987"/>
    <w:rsid w:val="006D539C"/>
    <w:rsid w:val="006E38C1"/>
    <w:rsid w:val="006E568B"/>
    <w:rsid w:val="006E6C64"/>
    <w:rsid w:val="006F1814"/>
    <w:rsid w:val="006F212C"/>
    <w:rsid w:val="006F2B07"/>
    <w:rsid w:val="006F6096"/>
    <w:rsid w:val="00714947"/>
    <w:rsid w:val="00717F81"/>
    <w:rsid w:val="007445A1"/>
    <w:rsid w:val="00752BD4"/>
    <w:rsid w:val="007630E6"/>
    <w:rsid w:val="00774EFC"/>
    <w:rsid w:val="00775AFD"/>
    <w:rsid w:val="00777703"/>
    <w:rsid w:val="007862AC"/>
    <w:rsid w:val="007A2E2C"/>
    <w:rsid w:val="007A3E28"/>
    <w:rsid w:val="007D64EA"/>
    <w:rsid w:val="007D7F73"/>
    <w:rsid w:val="007F5CF9"/>
    <w:rsid w:val="008001B7"/>
    <w:rsid w:val="00804A62"/>
    <w:rsid w:val="00817CE8"/>
    <w:rsid w:val="00822BE3"/>
    <w:rsid w:val="008312C9"/>
    <w:rsid w:val="008351D9"/>
    <w:rsid w:val="0084097C"/>
    <w:rsid w:val="00843D71"/>
    <w:rsid w:val="00847664"/>
    <w:rsid w:val="00852BBC"/>
    <w:rsid w:val="00854C53"/>
    <w:rsid w:val="00867069"/>
    <w:rsid w:val="0087083B"/>
    <w:rsid w:val="00881167"/>
    <w:rsid w:val="008845C5"/>
    <w:rsid w:val="0088525A"/>
    <w:rsid w:val="00886B24"/>
    <w:rsid w:val="008A0CBA"/>
    <w:rsid w:val="008B38DF"/>
    <w:rsid w:val="008B6A42"/>
    <w:rsid w:val="008C7B24"/>
    <w:rsid w:val="008F10FE"/>
    <w:rsid w:val="00906075"/>
    <w:rsid w:val="009079DC"/>
    <w:rsid w:val="00910E36"/>
    <w:rsid w:val="009210BA"/>
    <w:rsid w:val="00945043"/>
    <w:rsid w:val="009458DF"/>
    <w:rsid w:val="0094753C"/>
    <w:rsid w:val="00951BFB"/>
    <w:rsid w:val="00954FBF"/>
    <w:rsid w:val="009606A5"/>
    <w:rsid w:val="0097230F"/>
    <w:rsid w:val="00983517"/>
    <w:rsid w:val="009A6E83"/>
    <w:rsid w:val="009C391D"/>
    <w:rsid w:val="009C7F17"/>
    <w:rsid w:val="009D3B9C"/>
    <w:rsid w:val="009D714C"/>
    <w:rsid w:val="00A140B2"/>
    <w:rsid w:val="00A1675B"/>
    <w:rsid w:val="00A16D8D"/>
    <w:rsid w:val="00A20C74"/>
    <w:rsid w:val="00A22A07"/>
    <w:rsid w:val="00A27BA9"/>
    <w:rsid w:val="00A426D7"/>
    <w:rsid w:val="00A57A6A"/>
    <w:rsid w:val="00A665CC"/>
    <w:rsid w:val="00A729E1"/>
    <w:rsid w:val="00A814C4"/>
    <w:rsid w:val="00A84B7B"/>
    <w:rsid w:val="00A92ECF"/>
    <w:rsid w:val="00A97FA2"/>
    <w:rsid w:val="00AD023C"/>
    <w:rsid w:val="00B066A4"/>
    <w:rsid w:val="00B16655"/>
    <w:rsid w:val="00B3353E"/>
    <w:rsid w:val="00B405D9"/>
    <w:rsid w:val="00B46EFA"/>
    <w:rsid w:val="00B53A83"/>
    <w:rsid w:val="00B70C95"/>
    <w:rsid w:val="00B7393C"/>
    <w:rsid w:val="00B80FB3"/>
    <w:rsid w:val="00B810AC"/>
    <w:rsid w:val="00B85A85"/>
    <w:rsid w:val="00B91B4B"/>
    <w:rsid w:val="00B939B2"/>
    <w:rsid w:val="00BA107B"/>
    <w:rsid w:val="00BA7327"/>
    <w:rsid w:val="00BA7963"/>
    <w:rsid w:val="00BB0272"/>
    <w:rsid w:val="00BB5B11"/>
    <w:rsid w:val="00BC183A"/>
    <w:rsid w:val="00BD11CF"/>
    <w:rsid w:val="00BD11E9"/>
    <w:rsid w:val="00BD49EE"/>
    <w:rsid w:val="00BD6443"/>
    <w:rsid w:val="00BF11F3"/>
    <w:rsid w:val="00BF25B8"/>
    <w:rsid w:val="00BF7495"/>
    <w:rsid w:val="00C0007F"/>
    <w:rsid w:val="00C11805"/>
    <w:rsid w:val="00C13487"/>
    <w:rsid w:val="00C2476A"/>
    <w:rsid w:val="00C2535E"/>
    <w:rsid w:val="00C33ECE"/>
    <w:rsid w:val="00C347E9"/>
    <w:rsid w:val="00C350B8"/>
    <w:rsid w:val="00C35E70"/>
    <w:rsid w:val="00C549A9"/>
    <w:rsid w:val="00C5520A"/>
    <w:rsid w:val="00C7721C"/>
    <w:rsid w:val="00C86A3F"/>
    <w:rsid w:val="00C878A4"/>
    <w:rsid w:val="00C936A7"/>
    <w:rsid w:val="00CC345A"/>
    <w:rsid w:val="00CD0AA6"/>
    <w:rsid w:val="00CD2918"/>
    <w:rsid w:val="00CD43EA"/>
    <w:rsid w:val="00CD6EF2"/>
    <w:rsid w:val="00CE3502"/>
    <w:rsid w:val="00CE4C63"/>
    <w:rsid w:val="00CF54AA"/>
    <w:rsid w:val="00D02409"/>
    <w:rsid w:val="00D04C32"/>
    <w:rsid w:val="00D074FF"/>
    <w:rsid w:val="00D349EF"/>
    <w:rsid w:val="00D379D8"/>
    <w:rsid w:val="00D5262E"/>
    <w:rsid w:val="00D56756"/>
    <w:rsid w:val="00D80BD0"/>
    <w:rsid w:val="00D8209D"/>
    <w:rsid w:val="00D82FAB"/>
    <w:rsid w:val="00D90EB6"/>
    <w:rsid w:val="00D92B4F"/>
    <w:rsid w:val="00D96084"/>
    <w:rsid w:val="00DA6576"/>
    <w:rsid w:val="00DB3F55"/>
    <w:rsid w:val="00DC2C74"/>
    <w:rsid w:val="00DC50F0"/>
    <w:rsid w:val="00DD1896"/>
    <w:rsid w:val="00DD4CCB"/>
    <w:rsid w:val="00DE35BA"/>
    <w:rsid w:val="00DF36FC"/>
    <w:rsid w:val="00DF55BE"/>
    <w:rsid w:val="00E020F9"/>
    <w:rsid w:val="00E1175A"/>
    <w:rsid w:val="00E122DD"/>
    <w:rsid w:val="00E25DD9"/>
    <w:rsid w:val="00E3277D"/>
    <w:rsid w:val="00E400B2"/>
    <w:rsid w:val="00E62FBE"/>
    <w:rsid w:val="00E65410"/>
    <w:rsid w:val="00E7759D"/>
    <w:rsid w:val="00E87692"/>
    <w:rsid w:val="00E93681"/>
    <w:rsid w:val="00E9480D"/>
    <w:rsid w:val="00EA2D15"/>
    <w:rsid w:val="00EB4121"/>
    <w:rsid w:val="00EC0831"/>
    <w:rsid w:val="00ED1AC8"/>
    <w:rsid w:val="00EE0A6A"/>
    <w:rsid w:val="00EE2BCC"/>
    <w:rsid w:val="00EF058C"/>
    <w:rsid w:val="00EF2F3F"/>
    <w:rsid w:val="00F067F7"/>
    <w:rsid w:val="00F06F51"/>
    <w:rsid w:val="00F12101"/>
    <w:rsid w:val="00F12E1F"/>
    <w:rsid w:val="00F13969"/>
    <w:rsid w:val="00F2363E"/>
    <w:rsid w:val="00F310B5"/>
    <w:rsid w:val="00F476A3"/>
    <w:rsid w:val="00F5680F"/>
    <w:rsid w:val="00F600D1"/>
    <w:rsid w:val="00F77CE0"/>
    <w:rsid w:val="00F825B5"/>
    <w:rsid w:val="00F85742"/>
    <w:rsid w:val="00F85C18"/>
    <w:rsid w:val="00FA7C9D"/>
    <w:rsid w:val="00FB24FB"/>
    <w:rsid w:val="00FB4741"/>
    <w:rsid w:val="00FB7CE2"/>
    <w:rsid w:val="00FC2DB5"/>
    <w:rsid w:val="00FD4836"/>
    <w:rsid w:val="00FD691C"/>
    <w:rsid w:val="00FE58D4"/>
    <w:rsid w:val="00FF2788"/>
    <w:rsid w:val="00FF38E9"/>
    <w:rsid w:val="00FF5AED"/>
    <w:rsid w:val="09B3B66C"/>
    <w:rsid w:val="0B118C27"/>
    <w:rsid w:val="1083BFC4"/>
    <w:rsid w:val="10A5BE73"/>
    <w:rsid w:val="1FECFCEC"/>
    <w:rsid w:val="23F898C5"/>
    <w:rsid w:val="263D133E"/>
    <w:rsid w:val="2D637F60"/>
    <w:rsid w:val="305A7C81"/>
    <w:rsid w:val="316E276E"/>
    <w:rsid w:val="3524759B"/>
    <w:rsid w:val="352DEDA4"/>
    <w:rsid w:val="4829A4B2"/>
    <w:rsid w:val="498FC0BD"/>
    <w:rsid w:val="4DDFEF5E"/>
    <w:rsid w:val="4E2ED3B0"/>
    <w:rsid w:val="4F35DEF0"/>
    <w:rsid w:val="4FE1EEA5"/>
    <w:rsid w:val="5324AA50"/>
    <w:rsid w:val="6B0D3D2B"/>
    <w:rsid w:val="6F51B5F6"/>
    <w:rsid w:val="777C3AF0"/>
    <w:rsid w:val="79EB90E6"/>
    <w:rsid w:val="7D5CA8D4"/>
    <w:rsid w:val="7DB2E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217C"/>
  <w15:chartTrackingRefBased/>
  <w15:docId w15:val="{CAD47D9D-493D-4B61-B4C9-4C9F5340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6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7C7"/>
  </w:style>
  <w:style w:type="paragraph" w:styleId="Footer">
    <w:name w:val="footer"/>
    <w:basedOn w:val="Normal"/>
    <w:link w:val="FooterChar"/>
    <w:uiPriority w:val="99"/>
    <w:unhideWhenUsed/>
    <w:rsid w:val="00656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7C7"/>
  </w:style>
  <w:style w:type="character" w:styleId="PlaceholderText">
    <w:name w:val="Placeholder Text"/>
    <w:basedOn w:val="DefaultParagraphFont"/>
    <w:uiPriority w:val="99"/>
    <w:semiHidden/>
    <w:rsid w:val="00B7393C"/>
    <w:rPr>
      <w:color w:val="808080"/>
    </w:rPr>
  </w:style>
  <w:style w:type="paragraph" w:styleId="CommentText">
    <w:name w:val="annotation text"/>
    <w:basedOn w:val="Normal"/>
    <w:link w:val="CommentTextChar"/>
    <w:uiPriority w:val="99"/>
    <w:unhideWhenUsed/>
    <w:rsid w:val="00EC0831"/>
    <w:pPr>
      <w:spacing w:line="240" w:lineRule="auto"/>
    </w:pPr>
    <w:rPr>
      <w:sz w:val="20"/>
      <w:szCs w:val="20"/>
    </w:rPr>
  </w:style>
  <w:style w:type="character" w:customStyle="1" w:styleId="CommentTextChar">
    <w:name w:val="Comment Text Char"/>
    <w:basedOn w:val="DefaultParagraphFont"/>
    <w:link w:val="CommentText"/>
    <w:uiPriority w:val="99"/>
    <w:rsid w:val="00EC0831"/>
    <w:rPr>
      <w:sz w:val="20"/>
      <w:szCs w:val="20"/>
    </w:rPr>
  </w:style>
  <w:style w:type="character" w:styleId="CommentReference">
    <w:name w:val="annotation reference"/>
    <w:basedOn w:val="DefaultParagraphFont"/>
    <w:uiPriority w:val="99"/>
    <w:semiHidden/>
    <w:unhideWhenUsed/>
    <w:rsid w:val="00EC0831"/>
    <w:rPr>
      <w:sz w:val="16"/>
      <w:szCs w:val="16"/>
    </w:rPr>
  </w:style>
  <w:style w:type="character" w:customStyle="1" w:styleId="normaltextrun">
    <w:name w:val="normaltextrun"/>
    <w:basedOn w:val="DefaultParagraphFont"/>
    <w:rsid w:val="00774EFC"/>
  </w:style>
  <w:style w:type="paragraph" w:customStyle="1" w:styleId="paragraph">
    <w:name w:val="paragraph"/>
    <w:basedOn w:val="Normal"/>
    <w:rsid w:val="00514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14939"/>
  </w:style>
  <w:style w:type="paragraph" w:styleId="Revision">
    <w:name w:val="Revision"/>
    <w:hidden/>
    <w:uiPriority w:val="99"/>
    <w:semiHidden/>
    <w:rsid w:val="00BD11CF"/>
    <w:pPr>
      <w:spacing w:after="0" w:line="240" w:lineRule="auto"/>
    </w:pPr>
  </w:style>
  <w:style w:type="paragraph" w:styleId="CommentSubject">
    <w:name w:val="annotation subject"/>
    <w:basedOn w:val="CommentText"/>
    <w:next w:val="CommentText"/>
    <w:link w:val="CommentSubjectChar"/>
    <w:uiPriority w:val="99"/>
    <w:semiHidden/>
    <w:unhideWhenUsed/>
    <w:rsid w:val="00525BEA"/>
    <w:rPr>
      <w:b/>
      <w:bCs/>
    </w:rPr>
  </w:style>
  <w:style w:type="character" w:customStyle="1" w:styleId="CommentSubjectChar">
    <w:name w:val="Comment Subject Char"/>
    <w:basedOn w:val="CommentTextChar"/>
    <w:link w:val="CommentSubject"/>
    <w:uiPriority w:val="99"/>
    <w:semiHidden/>
    <w:rsid w:val="00525BEA"/>
    <w:rPr>
      <w:b/>
      <w:bCs/>
      <w:sz w:val="20"/>
      <w:szCs w:val="20"/>
    </w:rPr>
  </w:style>
  <w:style w:type="paragraph" w:styleId="BodyText">
    <w:name w:val="Body Text"/>
    <w:basedOn w:val="Normal"/>
    <w:link w:val="BodyTextChar"/>
    <w:uiPriority w:val="1"/>
    <w:qFormat/>
    <w:rsid w:val="0065084B"/>
    <w:pPr>
      <w:autoSpaceDE w:val="0"/>
      <w:autoSpaceDN w:val="0"/>
      <w:adjustRightInd w:val="0"/>
      <w:spacing w:after="0" w:line="243" w:lineRule="exact"/>
      <w:ind w:left="3329" w:right="3329"/>
      <w:jc w:val="center"/>
    </w:pPr>
    <w:rPr>
      <w:rFonts w:ascii="Times New Roman" w:hAnsi="Times New Roman" w:cs="Times New Roman"/>
      <w:b/>
      <w:bCs/>
    </w:rPr>
  </w:style>
  <w:style w:type="character" w:customStyle="1" w:styleId="BodyTextChar">
    <w:name w:val="Body Text Char"/>
    <w:basedOn w:val="DefaultParagraphFont"/>
    <w:link w:val="BodyText"/>
    <w:uiPriority w:val="1"/>
    <w:rsid w:val="0065084B"/>
    <w:rPr>
      <w:rFonts w:ascii="Times New Roman" w:hAnsi="Times New Roman" w:cs="Times New Roman"/>
      <w:b/>
      <w:bCs/>
    </w:rPr>
  </w:style>
  <w:style w:type="paragraph" w:customStyle="1" w:styleId="TableParagraph">
    <w:name w:val="Table Paragraph"/>
    <w:basedOn w:val="Normal"/>
    <w:uiPriority w:val="1"/>
    <w:qFormat/>
    <w:rsid w:val="0065084B"/>
    <w:pPr>
      <w:autoSpaceDE w:val="0"/>
      <w:autoSpaceDN w:val="0"/>
      <w:adjustRightInd w:val="0"/>
      <w:spacing w:before="58" w:after="0" w:line="240" w:lineRule="auto"/>
      <w:ind w:left="100"/>
      <w:jc w:val="center"/>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255140">
      <w:bodyDiv w:val="1"/>
      <w:marLeft w:val="0"/>
      <w:marRight w:val="0"/>
      <w:marTop w:val="0"/>
      <w:marBottom w:val="0"/>
      <w:divBdr>
        <w:top w:val="none" w:sz="0" w:space="0" w:color="auto"/>
        <w:left w:val="none" w:sz="0" w:space="0" w:color="auto"/>
        <w:bottom w:val="none" w:sz="0" w:space="0" w:color="auto"/>
        <w:right w:val="none" w:sz="0" w:space="0" w:color="auto"/>
      </w:divBdr>
      <w:divsChild>
        <w:div w:id="920140799">
          <w:marLeft w:val="0"/>
          <w:marRight w:val="0"/>
          <w:marTop w:val="0"/>
          <w:marBottom w:val="0"/>
          <w:divBdr>
            <w:top w:val="none" w:sz="0" w:space="0" w:color="auto"/>
            <w:left w:val="none" w:sz="0" w:space="0" w:color="auto"/>
            <w:bottom w:val="none" w:sz="0" w:space="0" w:color="auto"/>
            <w:right w:val="none" w:sz="0" w:space="0" w:color="auto"/>
          </w:divBdr>
        </w:div>
        <w:div w:id="1318026812">
          <w:marLeft w:val="0"/>
          <w:marRight w:val="0"/>
          <w:marTop w:val="0"/>
          <w:marBottom w:val="0"/>
          <w:divBdr>
            <w:top w:val="none" w:sz="0" w:space="0" w:color="auto"/>
            <w:left w:val="none" w:sz="0" w:space="0" w:color="auto"/>
            <w:bottom w:val="none" w:sz="0" w:space="0" w:color="auto"/>
            <w:right w:val="none" w:sz="0" w:space="0" w:color="auto"/>
          </w:divBdr>
        </w:div>
        <w:div w:id="1426849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49CC91B703A408300195853313740" ma:contentTypeVersion="24" ma:contentTypeDescription="Create a new document." ma:contentTypeScope="" ma:versionID="ebc3b3dba7a8cd0a96d79cf1854f41d7">
  <xsd:schema xmlns:xsd="http://www.w3.org/2001/XMLSchema" xmlns:xs="http://www.w3.org/2001/XMLSchema" xmlns:p="http://schemas.microsoft.com/office/2006/metadata/properties" xmlns:ns2="252b6ee7-883f-47cc-9ef4-51084eb5a364" xmlns:ns3="0ac40943-4753-4f9b-a2b3-8b5d259efe3d" targetNamespace="http://schemas.microsoft.com/office/2006/metadata/properties" ma:root="true" ma:fieldsID="c1b80c48bff50f10d9a7b34ab256b019" ns2:_="" ns3:_="">
    <xsd:import namespace="252b6ee7-883f-47cc-9ef4-51084eb5a364"/>
    <xsd:import namespace="0ac40943-4753-4f9b-a2b3-8b5d259efe3d"/>
    <xsd:element name="properties">
      <xsd:complexType>
        <xsd:sequence>
          <xsd:element name="documentManagement">
            <xsd:complexType>
              <xsd:all>
                <xsd:element ref="ns2:Main_x0020_Folder" minOccurs="0"/>
                <xsd:element ref="ns2:Sub_x002d_Folder" minOccurs="0"/>
                <xsd:element ref="ns2:_x0032_nd_x0020_Level_x0020_Sub_x002d_Folder" minOccurs="0"/>
                <xsd:element ref="ns2:Category" minOccurs="0"/>
                <xsd:element ref="ns3:SharedWithUsers" minOccurs="0"/>
                <xsd:element ref="ns3:SharedWithDetails" minOccurs="0"/>
                <xsd:element ref="ns2:MediaServiceMetadata" minOccurs="0"/>
                <xsd:element ref="ns2:MediaServiceFastMetadata" minOccurs="0"/>
                <xsd:element ref="ns2:order0"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b6ee7-883f-47cc-9ef4-51084eb5a364" elementFormDefault="qualified">
    <xsd:import namespace="http://schemas.microsoft.com/office/2006/documentManagement/types"/>
    <xsd:import namespace="http://schemas.microsoft.com/office/infopath/2007/PartnerControls"/>
    <xsd:element name="Main_x0020_Folder" ma:index="8" nillable="true" ma:displayName="Main Folder" ma:format="Dropdown" ma:internalName="Main_x0020_Folder" ma:readOnly="false">
      <xsd:simpleType>
        <xsd:restriction base="dms:Choice">
          <xsd:enumeration value="Closure Boilerplate Letters"/>
          <xsd:enumeration value="Closure Plan Review Forms"/>
          <xsd:enumeration value="Compliance Monitoring Strategy for Post-Closure Facilities"/>
          <xsd:enumeration value="Corrective Action Resources"/>
          <xsd:enumeration value="Data Validation Guidance"/>
          <xsd:enumeration value="ERAS Work Request Form"/>
          <xsd:enumeration value="Vactrose Zone Model Guidance"/>
          <xsd:enumeration value="CPRG Review"/>
          <xsd:enumeration value="CASS FORM (ver.2) and Model Permit"/>
          <xsd:enumeration value="VI Resources"/>
          <xsd:enumeration value="VI Sampling"/>
        </xsd:restriction>
      </xsd:simpleType>
    </xsd:element>
    <xsd:element name="Sub_x002d_Folder" ma:index="9" nillable="true" ma:displayName="Sub-Folder" ma:format="Dropdown" ma:internalName="Sub_x002d_Folder" ma:readOnly="false">
      <xsd:simpleType>
        <xsd:restriction base="dms:Choice">
          <xsd:enumeration value="CO-Closure Plan NODs"/>
          <xsd:enumeration value="Director's Signature-CP Approvals-Amendments-Extensions-"/>
          <xsd:enumeration value="DO-NODs, Minor Mod Approvals, Certification Accptance-NOD"/>
          <xsd:enumeration value="CORRECTIVE ACTION BOILERPLATES"/>
          <xsd:enumeration value="Decision Documents"/>
          <xsd:enumeration value="EPA RFI Guidance May 1989"/>
          <xsd:enumeration value="Statement of Basis"/>
          <xsd:enumeration value="USEPA STRATEGIC PLAN DEVELOPMENT"/>
          <xsd:enumeration value="Data Validation Resources"/>
          <xsd:enumeration value="Module E Draft Permit Examples"/>
          <xsd:enumeration value="CPRG 2017"/>
        </xsd:restriction>
      </xsd:simpleType>
    </xsd:element>
    <xsd:element name="_x0032_nd_x0020_Level_x0020_Sub_x002d_Folder" ma:index="10" nillable="true" ma:displayName="2nd Level Sub-Folder" ma:format="Dropdown" ma:internalName="_x0032_nd_x0020_Level_x0020_Sub_x002d_Folder" ma:readOnly="false">
      <xsd:simpleType>
        <xsd:restriction base="dms:Choice">
          <xsd:enumeration value="REILLY Word D. Documents"/>
        </xsd:restriction>
      </xsd:simpleType>
    </xsd:element>
    <xsd:element name="Category" ma:index="11" nillable="true" ma:displayName="Category" ma:format="Dropdown" ma:internalName="Category" ma:readOnly="false">
      <xsd:simpleType>
        <xsd:restriction base="dms:Choice">
          <xsd:enumeration value="Closure Guidance"/>
          <xsd:enumeration value="CA Guidance"/>
          <xsd:enumeration value="ERAS Guidance"/>
          <xsd:enumeration value="Risk Guidance"/>
          <xsd:enumeration value="CPRG Review Guidance"/>
          <xsd:enumeration value="Vadose Zone Model Guidanc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order0" ma:index="16" nillable="true" ma:displayName="order" ma:internalName="order0">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40943-4753-4f9b-a2b3-8b5d259ef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252b6ee7-883f-47cc-9ef4-51084eb5a364" xsi:nil="true"/>
    <Category xmlns="252b6ee7-883f-47cc-9ef4-51084eb5a364" xsi:nil="true"/>
    <_x0032_nd_x0020_Level_x0020_Sub_x002d_Folder xmlns="252b6ee7-883f-47cc-9ef4-51084eb5a364" xsi:nil="true"/>
    <Main_x0020_Folder xmlns="252b6ee7-883f-47cc-9ef4-51084eb5a364" xsi:nil="true"/>
    <Sub_x002d_Folder xmlns="252b6ee7-883f-47cc-9ef4-51084eb5a364"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AFDDE1E9-F3E4-4A06-8FB0-ABB0A5FAD429}"/>
</file>

<file path=customXml/itemProps2.xml><?xml version="1.0" encoding="utf-8"?>
<ds:datastoreItem xmlns:ds="http://schemas.openxmlformats.org/officeDocument/2006/customXml" ds:itemID="{3841DCB1-DC3C-4EFA-AEAE-FB0E5D931FEF}">
  <ds:schemaRefs>
    <ds:schemaRef ds:uri="http://schemas.microsoft.com/office/2006/documentManagement/types"/>
    <ds:schemaRef ds:uri="http://schemas.openxmlformats.org/package/2006/metadata/core-properties"/>
    <ds:schemaRef ds:uri="883ee8f0-d5c8-4292-a56e-e30967e0df44"/>
    <ds:schemaRef ds:uri="http://purl.org/dc/dcmitype/"/>
    <ds:schemaRef ds:uri="http://schemas.microsoft.com/office/infopath/2007/PartnerControls"/>
    <ds:schemaRef ds:uri="http://purl.org/dc/elements/1.1/"/>
    <ds:schemaRef ds:uri="http://schemas.microsoft.com/office/2006/metadata/properties"/>
    <ds:schemaRef ds:uri="3e340436-701e-4bf6-a2cd-8975eeda02ba"/>
    <ds:schemaRef ds:uri="http://www.w3.org/XML/1998/namespace"/>
    <ds:schemaRef ds:uri="http://purl.org/dc/terms/"/>
  </ds:schemaRefs>
</ds:datastoreItem>
</file>

<file path=customXml/itemProps3.xml><?xml version="1.0" encoding="utf-8"?>
<ds:datastoreItem xmlns:ds="http://schemas.openxmlformats.org/officeDocument/2006/customXml" ds:itemID="{C690A83E-9F69-4434-88EA-F96107CC9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1737</Words>
  <Characters>9907</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Beal, Sarah</dc:creator>
  <cp:keywords/>
  <dc:description/>
  <cp:lastModifiedBy>Beal, Sarah</cp:lastModifiedBy>
  <cp:revision>282</cp:revision>
  <dcterms:created xsi:type="dcterms:W3CDTF">2022-08-02T20:30:00Z</dcterms:created>
  <dcterms:modified xsi:type="dcterms:W3CDTF">2023-05-30T15:12:00Z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0x01010093149CC91B703A408300195853313740</vt:lpwstr>
  </property>
</Properties>
</file>