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75"/>
        <w:gridCol w:w="4675"/>
      </w:tblGrid>
      <w:tr w:rsidR="00ED7CB0" w14:paraId="296BD59C" w14:textId="77777777" w:rsidTr="01A5A9F1">
        <w:trPr>
          <w:tblHeader/>
        </w:trPr>
        <w:tc>
          <w:tcPr>
            <w:tcW w:w="9350" w:type="dxa"/>
            <w:gridSpan w:val="2"/>
            <w:shd w:val="clear" w:color="auto" w:fill="D9D9D9" w:themeFill="background1" w:themeFillShade="D9"/>
          </w:tcPr>
          <w:p w14:paraId="36099A29" w14:textId="2791ABF7" w:rsidR="00ED7CB0" w:rsidRPr="007F42C0" w:rsidRDefault="00ED7CB0" w:rsidP="000F6FD0">
            <w:pPr>
              <w:rPr>
                <w:b/>
                <w:bCs/>
              </w:rPr>
            </w:pPr>
            <w:r w:rsidRPr="007F42C0">
              <w:rPr>
                <w:b/>
                <w:bCs/>
              </w:rPr>
              <w:t>2.0</w:t>
            </w:r>
            <w:r w:rsidRPr="007F42C0">
              <w:rPr>
                <w:b/>
                <w:bCs/>
              </w:rPr>
              <w:tab/>
              <w:t>VOC Data Validation</w:t>
            </w:r>
          </w:p>
        </w:tc>
      </w:tr>
      <w:tr w:rsidR="00ED7CB0" w14:paraId="6501A010" w14:textId="77777777" w:rsidTr="01A5A9F1">
        <w:trPr>
          <w:tblHeader/>
        </w:trPr>
        <w:tc>
          <w:tcPr>
            <w:tcW w:w="9350" w:type="dxa"/>
            <w:gridSpan w:val="2"/>
            <w:shd w:val="clear" w:color="auto" w:fill="D9D9D9" w:themeFill="background1" w:themeFillShade="D9"/>
          </w:tcPr>
          <w:p w14:paraId="28EE9CC9" w14:textId="77777777" w:rsidR="00ED7CB0" w:rsidRPr="007F42C0" w:rsidRDefault="00ED7CB0" w:rsidP="000F6FD0">
            <w:pPr>
              <w:rPr>
                <w:b/>
                <w:bCs/>
              </w:rPr>
            </w:pPr>
            <w:r w:rsidRPr="007F42C0">
              <w:rPr>
                <w:b/>
                <w:bCs/>
              </w:rPr>
              <w:t>2.1</w:t>
            </w:r>
            <w:r w:rsidRPr="007F42C0">
              <w:rPr>
                <w:b/>
                <w:bCs/>
              </w:rPr>
              <w:tab/>
            </w:r>
            <w:r>
              <w:rPr>
                <w:b/>
                <w:bCs/>
              </w:rPr>
              <w:t>Volatile</w:t>
            </w:r>
            <w:r w:rsidRPr="007F42C0">
              <w:rPr>
                <w:b/>
                <w:bCs/>
              </w:rPr>
              <w:t xml:space="preserve"> Data Review - </w:t>
            </w:r>
            <w:r>
              <w:rPr>
                <w:b/>
                <w:bCs/>
              </w:rPr>
              <w:t>Blank Data</w:t>
            </w:r>
          </w:p>
        </w:tc>
      </w:tr>
      <w:tr w:rsidR="00ED7CB0" w14:paraId="155EF09C" w14:textId="77777777" w:rsidTr="01A5A9F1">
        <w:tc>
          <w:tcPr>
            <w:tcW w:w="9350" w:type="dxa"/>
            <w:gridSpan w:val="2"/>
            <w:shd w:val="clear" w:color="auto" w:fill="D9D9D9" w:themeFill="background1" w:themeFillShade="D9"/>
          </w:tcPr>
          <w:p w14:paraId="0A6665E0" w14:textId="77777777" w:rsidR="00ED7CB0" w:rsidRPr="007F42C0" w:rsidRDefault="00ED7CB0" w:rsidP="000F6FD0">
            <w:pPr>
              <w:rPr>
                <w:b/>
                <w:bCs/>
              </w:rPr>
            </w:pPr>
            <w:r w:rsidRPr="007F42C0">
              <w:rPr>
                <w:b/>
                <w:bCs/>
              </w:rPr>
              <w:t>Laboratory blanks are used to assess whether contamination from the laboratory, reagents, or other samples exists and whether this contamination can bias sample results.  The qualification of sample results will depend upon the magnitude of blank contamination.</w:t>
            </w:r>
            <w:r>
              <w:rPr>
                <w:b/>
                <w:bCs/>
              </w:rPr>
              <w:t xml:space="preserve"> </w:t>
            </w:r>
          </w:p>
        </w:tc>
      </w:tr>
      <w:tr w:rsidR="00ED7CB0" w14:paraId="794DC643" w14:textId="77777777" w:rsidTr="01A5A9F1">
        <w:tc>
          <w:tcPr>
            <w:tcW w:w="4675" w:type="dxa"/>
            <w:shd w:val="clear" w:color="auto" w:fill="D9D9D9" w:themeFill="background1" w:themeFillShade="D9"/>
          </w:tcPr>
          <w:p w14:paraId="764146EB" w14:textId="77777777" w:rsidR="00ED7CB0" w:rsidRDefault="00ED7CB0" w:rsidP="000F6FD0">
            <w:r>
              <w:t>2.1.1</w:t>
            </w:r>
            <w:r>
              <w:tab/>
              <w:t>Is the method blank data present for each batch (matrix and sample number dependent), including TCLP?</w:t>
            </w:r>
          </w:p>
          <w:p w14:paraId="414A92B1" w14:textId="77777777" w:rsidR="00ED7CB0" w:rsidRDefault="00ED7CB0" w:rsidP="000F6FD0"/>
          <w:p w14:paraId="64EA6ABD" w14:textId="5A4C1431" w:rsidR="00ED7CB0" w:rsidRPr="007F42C0" w:rsidRDefault="00ED7CB0" w:rsidP="000F6FD0">
            <w:pPr>
              <w:rPr>
                <w:i/>
                <w:iCs/>
              </w:rPr>
            </w:pPr>
            <w:r w:rsidRPr="007F42C0">
              <w:rPr>
                <w:i/>
                <w:iCs/>
              </w:rPr>
              <w:t xml:space="preserve">Action: If not present, request information from the </w:t>
            </w:r>
            <w:r>
              <w:rPr>
                <w:i/>
                <w:iCs/>
              </w:rPr>
              <w:t>applicable party</w:t>
            </w:r>
            <w:r w:rsidRPr="007F42C0">
              <w:rPr>
                <w:i/>
                <w:iCs/>
              </w:rPr>
              <w:t xml:space="preserve"> or laboratory.  If the required method blank(s) was not analyzed, sample results may be qualified as estimated (“J,” for </w:t>
            </w:r>
            <w:r w:rsidR="0126BBBB" w:rsidRPr="47E6695E">
              <w:rPr>
                <w:i/>
                <w:iCs/>
              </w:rPr>
              <w:t>detected</w:t>
            </w:r>
            <w:r w:rsidRPr="47E6695E">
              <w:rPr>
                <w:i/>
                <w:iCs/>
              </w:rPr>
              <w:t xml:space="preserve"> </w:t>
            </w:r>
            <w:r w:rsidRPr="007F42C0">
              <w:rPr>
                <w:i/>
                <w:iCs/>
              </w:rPr>
              <w:t>results and “UJ,” for non-detected compounds) based upon the validator’s judgment.  Additional qualification may be warranted based upon other QA/QC information.</w:t>
            </w:r>
          </w:p>
        </w:tc>
        <w:tc>
          <w:tcPr>
            <w:tcW w:w="4675" w:type="dxa"/>
          </w:tcPr>
          <w:p w14:paraId="100DB7B8" w14:textId="77777777" w:rsidR="00ED7CB0" w:rsidRPr="00B32444" w:rsidRDefault="00ED7CB0" w:rsidP="000F6FD0">
            <w:pPr>
              <w:rPr>
                <w:b/>
                <w:bCs/>
              </w:rPr>
            </w:pPr>
            <w:r w:rsidRPr="00B32444">
              <w:rPr>
                <w:b/>
                <w:bCs/>
              </w:rPr>
              <w:t xml:space="preserve">Indicate </w:t>
            </w:r>
            <w:r>
              <w:rPr>
                <w:b/>
                <w:bCs/>
              </w:rPr>
              <w:t>y</w:t>
            </w:r>
            <w:r w:rsidRPr="00B32444">
              <w:rPr>
                <w:b/>
                <w:bCs/>
              </w:rPr>
              <w:t xml:space="preserve">es or </w:t>
            </w:r>
            <w:r>
              <w:rPr>
                <w:b/>
                <w:bCs/>
              </w:rPr>
              <w:t>n</w:t>
            </w:r>
            <w:r w:rsidRPr="00B32444">
              <w:rPr>
                <w:b/>
                <w:bCs/>
              </w:rPr>
              <w:t>o</w:t>
            </w:r>
            <w:r>
              <w:rPr>
                <w:b/>
                <w:bCs/>
              </w:rPr>
              <w:t>:</w:t>
            </w:r>
          </w:p>
        </w:tc>
      </w:tr>
      <w:tr w:rsidR="00ED7CB0" w14:paraId="07BCC5E2" w14:textId="77777777" w:rsidTr="01A5A9F1">
        <w:tc>
          <w:tcPr>
            <w:tcW w:w="4675" w:type="dxa"/>
            <w:shd w:val="clear" w:color="auto" w:fill="D9D9D9" w:themeFill="background1" w:themeFillShade="D9"/>
          </w:tcPr>
          <w:p w14:paraId="3473F352" w14:textId="6C7F23EA" w:rsidR="00ED7CB0" w:rsidRDefault="00ED7CB0" w:rsidP="000F6FD0">
            <w:r>
              <w:t>2.1.</w:t>
            </w:r>
            <w:r w:rsidR="002F03B5">
              <w:t>2</w:t>
            </w:r>
            <w:r>
              <w:tab/>
              <w:t xml:space="preserve">Is there an indication that the samples associated with the method blank were diluted? </w:t>
            </w:r>
          </w:p>
          <w:p w14:paraId="5F4A55F2" w14:textId="77777777" w:rsidR="00ED7CB0" w:rsidRDefault="00ED7CB0" w:rsidP="000F6FD0"/>
          <w:p w14:paraId="41D017DB" w14:textId="77777777" w:rsidR="00ED7CB0" w:rsidRPr="007F42C0" w:rsidRDefault="00ED7CB0" w:rsidP="000F6FD0">
            <w:pPr>
              <w:rPr>
                <w:b/>
                <w:bCs/>
              </w:rPr>
            </w:pPr>
            <w:r w:rsidRPr="007F42C0">
              <w:rPr>
                <w:b/>
                <w:bCs/>
              </w:rPr>
              <w:t>Note: The dilution factor can be found in the data report (a dilution factor of 1 indicates no dilution).</w:t>
            </w:r>
          </w:p>
        </w:tc>
        <w:tc>
          <w:tcPr>
            <w:tcW w:w="4675" w:type="dxa"/>
          </w:tcPr>
          <w:p w14:paraId="672FF875" w14:textId="77777777" w:rsidR="00ED7CB0" w:rsidRDefault="00ED7CB0" w:rsidP="000F6FD0">
            <w:pPr>
              <w:rPr>
                <w:b/>
                <w:bCs/>
              </w:rPr>
            </w:pPr>
            <w:r>
              <w:rPr>
                <w:b/>
                <w:bCs/>
              </w:rPr>
              <w:t>Indicate yes or no:</w:t>
            </w:r>
          </w:p>
          <w:p w14:paraId="365BA0C8" w14:textId="77777777" w:rsidR="00ED7CB0" w:rsidRDefault="00ED7CB0" w:rsidP="000F6FD0">
            <w:pPr>
              <w:rPr>
                <w:b/>
                <w:bCs/>
              </w:rPr>
            </w:pPr>
          </w:p>
          <w:p w14:paraId="7433F14B" w14:textId="77777777" w:rsidR="00ED7CB0" w:rsidRPr="00FF1084" w:rsidRDefault="00ED7CB0" w:rsidP="000F6FD0">
            <w:pPr>
              <w:rPr>
                <w:b/>
                <w:bCs/>
              </w:rPr>
            </w:pPr>
            <w:r>
              <w:rPr>
                <w:b/>
                <w:bCs/>
              </w:rPr>
              <w:t>If yes, l</w:t>
            </w:r>
            <w:r w:rsidRPr="00FF1084">
              <w:rPr>
                <w:b/>
                <w:bCs/>
              </w:rPr>
              <w:t xml:space="preserve">ist the </w:t>
            </w:r>
            <w:r>
              <w:rPr>
                <w:b/>
                <w:bCs/>
              </w:rPr>
              <w:t>sample ID(s) and</w:t>
            </w:r>
            <w:r w:rsidRPr="00FF1084">
              <w:rPr>
                <w:b/>
                <w:bCs/>
              </w:rPr>
              <w:t xml:space="preserve"> dilution factor(s):</w:t>
            </w:r>
          </w:p>
        </w:tc>
      </w:tr>
      <w:tr w:rsidR="00ED7CB0" w14:paraId="4D3609BB" w14:textId="77777777" w:rsidTr="01A5A9F1">
        <w:tc>
          <w:tcPr>
            <w:tcW w:w="4675" w:type="dxa"/>
            <w:shd w:val="clear" w:color="auto" w:fill="D9D9D9" w:themeFill="background1" w:themeFillShade="D9"/>
          </w:tcPr>
          <w:p w14:paraId="7000177C" w14:textId="4508B067" w:rsidR="00ED7CB0" w:rsidRDefault="00ED7CB0" w:rsidP="000F6FD0">
            <w:r>
              <w:t>2.1.</w:t>
            </w:r>
            <w:r w:rsidR="002F03B5">
              <w:t>3</w:t>
            </w:r>
            <w:r>
              <w:tab/>
              <w:t>Do any method/field/trip/</w:t>
            </w:r>
            <w:r w:rsidR="00BB1E7E">
              <w:t>equipment</w:t>
            </w:r>
            <w:r>
              <w:t xml:space="preserve"> blanks have any detected results for any volatile target analytes?  Were the same target compounds found in the samples?  </w:t>
            </w:r>
          </w:p>
          <w:p w14:paraId="4E91EC94" w14:textId="77777777" w:rsidR="00ED7CB0" w:rsidRDefault="00ED7CB0" w:rsidP="000F6FD0"/>
          <w:p w14:paraId="4F2DBF68" w14:textId="67296FEB" w:rsidR="00ED7CB0" w:rsidRDefault="00ED7CB0" w:rsidP="000F6FD0">
            <w:pPr>
              <w:rPr>
                <w:b/>
                <w:bCs/>
              </w:rPr>
            </w:pPr>
            <w:r w:rsidRPr="00520E4C">
              <w:rPr>
                <w:b/>
                <w:bCs/>
              </w:rPr>
              <w:t xml:space="preserve">Note: A list of samples associated with each of the contaminated blanks should be prepared.  Trip blanks are used to qualify samples based on potential contamination during shipment and are not required for non-aqueous matrices. </w:t>
            </w:r>
            <w:r w:rsidR="00691018" w:rsidRPr="4390D89D">
              <w:rPr>
                <w:b/>
                <w:bCs/>
              </w:rPr>
              <w:t>If analytes are detected in a blank but not in the sample of interest, then qualification of those analytes is not necessary.</w:t>
            </w:r>
          </w:p>
          <w:p w14:paraId="3BB773B9" w14:textId="07DF4286" w:rsidR="00691018" w:rsidRDefault="00691018" w:rsidP="000F6FD0">
            <w:pPr>
              <w:rPr>
                <w:b/>
                <w:bCs/>
              </w:rPr>
            </w:pPr>
          </w:p>
          <w:p w14:paraId="1B07B8A4" w14:textId="12433AA1" w:rsidR="00691018" w:rsidRPr="00520E4C" w:rsidRDefault="00691018" w:rsidP="000F6FD0">
            <w:pPr>
              <w:rPr>
                <w:b/>
                <w:bCs/>
              </w:rPr>
            </w:pPr>
            <w:r w:rsidRPr="4390D89D">
              <w:rPr>
                <w:b/>
                <w:bCs/>
              </w:rPr>
              <w:t>Use the information from 2.1.3 to determine whether a dilution factor should be used to determine qualification.  When a dilution is applied to samples, the contaminant concentrations in the samples are divided by the dilution factor, then use the criteria listed in the following table to qualify blanks and sample data.</w:t>
            </w:r>
          </w:p>
          <w:p w14:paraId="2914EA39" w14:textId="77777777" w:rsidR="00ED7CB0" w:rsidRDefault="00ED7CB0" w:rsidP="000F6FD0"/>
          <w:p w14:paraId="226A66B3" w14:textId="4D10C157" w:rsidR="00ED7CB0" w:rsidRPr="00520E4C" w:rsidRDefault="00ED7CB0" w:rsidP="2BA1A1D3">
            <w:pPr>
              <w:rPr>
                <w:i/>
                <w:iCs/>
              </w:rPr>
            </w:pPr>
            <w:r w:rsidRPr="2BA1A1D3">
              <w:rPr>
                <w:i/>
                <w:iCs/>
              </w:rPr>
              <w:lastRenderedPageBreak/>
              <w:t xml:space="preserve">Action: </w:t>
            </w:r>
            <w:r w:rsidR="00691018">
              <w:rPr>
                <w:i/>
                <w:iCs/>
              </w:rPr>
              <w:t>U</w:t>
            </w:r>
            <w:r w:rsidRPr="2BA1A1D3">
              <w:rPr>
                <w:i/>
                <w:iCs/>
              </w:rPr>
              <w:t>s</w:t>
            </w:r>
            <w:r w:rsidR="00691018">
              <w:rPr>
                <w:i/>
                <w:iCs/>
              </w:rPr>
              <w:t>e</w:t>
            </w:r>
            <w:r w:rsidRPr="2BA1A1D3">
              <w:rPr>
                <w:i/>
                <w:iCs/>
              </w:rPr>
              <w:t xml:space="preserve"> the criteria in </w:t>
            </w:r>
            <w:r w:rsidR="303AC19B" w:rsidRPr="2BA1A1D3">
              <w:rPr>
                <w:i/>
                <w:iCs/>
              </w:rPr>
              <w:t>Table 2-1</w:t>
            </w:r>
            <w:r w:rsidRPr="2BA1A1D3">
              <w:rPr>
                <w:i/>
                <w:iCs/>
              </w:rPr>
              <w:t xml:space="preserve"> below to qualify sample results due to blank contamination.  Use the largest value from all associated blanks.  If any blanks are grossly contaminated, all associated data may be qualified as “R”, based upon professional judgment and the project’s DQOs.</w:t>
            </w:r>
          </w:p>
        </w:tc>
        <w:tc>
          <w:tcPr>
            <w:tcW w:w="4675" w:type="dxa"/>
          </w:tcPr>
          <w:p w14:paraId="66F29A45" w14:textId="77777777" w:rsidR="00ED7CB0" w:rsidRDefault="00ED7CB0" w:rsidP="000F6FD0">
            <w:pPr>
              <w:rPr>
                <w:b/>
                <w:bCs/>
              </w:rPr>
            </w:pPr>
            <w:r>
              <w:rPr>
                <w:b/>
                <w:bCs/>
              </w:rPr>
              <w:lastRenderedPageBreak/>
              <w:t>Indicate yes or no:</w:t>
            </w:r>
          </w:p>
          <w:p w14:paraId="04154095" w14:textId="77777777" w:rsidR="00ED7CB0" w:rsidRDefault="00ED7CB0" w:rsidP="000F6FD0">
            <w:pPr>
              <w:rPr>
                <w:b/>
                <w:bCs/>
              </w:rPr>
            </w:pPr>
          </w:p>
          <w:p w14:paraId="4A94E2EB" w14:textId="77777777" w:rsidR="00ED7CB0" w:rsidRDefault="00ED7CB0" w:rsidP="000F6FD0">
            <w:pPr>
              <w:rPr>
                <w:b/>
                <w:bCs/>
              </w:rPr>
            </w:pPr>
            <w:r>
              <w:rPr>
                <w:b/>
                <w:bCs/>
              </w:rPr>
              <w:t>If yes, l</w:t>
            </w:r>
            <w:r w:rsidRPr="00FF1084">
              <w:rPr>
                <w:b/>
                <w:bCs/>
              </w:rPr>
              <w:t xml:space="preserve">ist those analytes and results found </w:t>
            </w:r>
            <w:r>
              <w:rPr>
                <w:b/>
                <w:bCs/>
              </w:rPr>
              <w:t xml:space="preserve">in </w:t>
            </w:r>
            <w:r w:rsidRPr="00FF1084">
              <w:rPr>
                <w:b/>
                <w:bCs/>
              </w:rPr>
              <w:t>both the blanks and samples</w:t>
            </w:r>
            <w:r>
              <w:rPr>
                <w:b/>
                <w:bCs/>
              </w:rPr>
              <w:t>:</w:t>
            </w:r>
          </w:p>
          <w:p w14:paraId="35B6A974" w14:textId="0FDD71D5" w:rsidR="00691018" w:rsidRPr="00691018" w:rsidRDefault="00691018" w:rsidP="000F6FD0"/>
          <w:p w14:paraId="3D64BD77" w14:textId="77777777" w:rsidR="00691018" w:rsidRPr="00691018" w:rsidRDefault="00691018" w:rsidP="000F6FD0"/>
          <w:p w14:paraId="3E5B3CBE" w14:textId="3B8F9F42" w:rsidR="00691018" w:rsidRPr="00FF1084" w:rsidRDefault="00691018" w:rsidP="000F6FD0">
            <w:pPr>
              <w:rPr>
                <w:b/>
                <w:bCs/>
              </w:rPr>
            </w:pPr>
            <w:r w:rsidRPr="00B32444">
              <w:rPr>
                <w:b/>
                <w:bCs/>
              </w:rPr>
              <w:t>Summarize sample result qualifications based on blank results</w:t>
            </w:r>
            <w:r>
              <w:rPr>
                <w:b/>
                <w:bCs/>
              </w:rPr>
              <w:t>:</w:t>
            </w:r>
          </w:p>
        </w:tc>
      </w:tr>
    </w:tbl>
    <w:p w14:paraId="3F24F045" w14:textId="77777777" w:rsidR="00ED7CB0" w:rsidRDefault="00ED7CB0" w:rsidP="00ED7CB0"/>
    <w:tbl>
      <w:tblPr>
        <w:tblStyle w:val="TableGrid"/>
        <w:tblW w:w="0" w:type="auto"/>
        <w:tblLook w:val="04A0" w:firstRow="1" w:lastRow="0" w:firstColumn="1" w:lastColumn="0" w:noHBand="0" w:noVBand="1"/>
      </w:tblPr>
      <w:tblGrid>
        <w:gridCol w:w="3116"/>
        <w:gridCol w:w="3117"/>
        <w:gridCol w:w="3117"/>
      </w:tblGrid>
      <w:tr w:rsidR="00ED7CB0" w:rsidRPr="007E056D" w14:paraId="4EA1624C" w14:textId="77777777" w:rsidTr="4390D89D">
        <w:trPr>
          <w:trHeight w:val="145"/>
          <w:tblHeader/>
        </w:trPr>
        <w:tc>
          <w:tcPr>
            <w:tcW w:w="9350" w:type="dxa"/>
            <w:gridSpan w:val="3"/>
            <w:shd w:val="clear" w:color="auto" w:fill="D9D9D9" w:themeFill="background1" w:themeFillShade="D9"/>
            <w:vAlign w:val="center"/>
          </w:tcPr>
          <w:p w14:paraId="07226C4C" w14:textId="5B99B414" w:rsidR="00ED7CB0" w:rsidRPr="00FB3B3F" w:rsidRDefault="6BF8BD3F" w:rsidP="4390D89D">
            <w:pPr>
              <w:pStyle w:val="Default"/>
              <w:jc w:val="center"/>
              <w:rPr>
                <w:rFonts w:asciiTheme="minorHAnsi" w:hAnsiTheme="minorHAnsi" w:cstheme="minorBidi"/>
                <w:b/>
                <w:bCs/>
                <w:sz w:val="22"/>
                <w:szCs w:val="22"/>
              </w:rPr>
            </w:pPr>
            <w:bookmarkStart w:id="0" w:name="_Hlk109977754"/>
            <w:r w:rsidRPr="4390D89D">
              <w:rPr>
                <w:rFonts w:asciiTheme="minorHAnsi" w:hAnsiTheme="minorHAnsi" w:cstheme="minorBidi"/>
                <w:b/>
                <w:bCs/>
                <w:sz w:val="22"/>
                <w:szCs w:val="22"/>
              </w:rPr>
              <w:t xml:space="preserve">Table 2-1: </w:t>
            </w:r>
            <w:r w:rsidR="00ED7CB0" w:rsidRPr="4390D89D">
              <w:rPr>
                <w:rFonts w:asciiTheme="minorHAnsi" w:hAnsiTheme="minorHAnsi" w:cstheme="minorBidi"/>
                <w:b/>
                <w:bCs/>
                <w:sz w:val="22"/>
                <w:szCs w:val="22"/>
              </w:rPr>
              <w:t>Blank Actions for VOC Analyses</w:t>
            </w:r>
          </w:p>
        </w:tc>
      </w:tr>
      <w:tr w:rsidR="00ED7CB0" w:rsidRPr="007E056D" w14:paraId="0A15FEF5" w14:textId="77777777" w:rsidTr="4390D89D">
        <w:trPr>
          <w:trHeight w:val="145"/>
          <w:tblHeader/>
        </w:trPr>
        <w:tc>
          <w:tcPr>
            <w:tcW w:w="9350" w:type="dxa"/>
            <w:gridSpan w:val="3"/>
            <w:shd w:val="clear" w:color="auto" w:fill="D9D9D9" w:themeFill="background1" w:themeFillShade="D9"/>
            <w:vAlign w:val="center"/>
          </w:tcPr>
          <w:p w14:paraId="2044CA6A" w14:textId="77777777" w:rsidR="00ED7CB0" w:rsidRPr="007E056D" w:rsidRDefault="00ED7CB0" w:rsidP="000F6FD0">
            <w:pPr>
              <w:pStyle w:val="Default"/>
              <w:jc w:val="center"/>
              <w:rPr>
                <w:rFonts w:asciiTheme="minorHAnsi" w:hAnsiTheme="minorHAnsi" w:cstheme="minorHAnsi"/>
                <w:sz w:val="22"/>
                <w:szCs w:val="22"/>
              </w:rPr>
            </w:pPr>
            <w:bookmarkStart w:id="1" w:name="_Hlk104451313"/>
            <w:r w:rsidRPr="007E056D">
              <w:rPr>
                <w:rFonts w:asciiTheme="minorHAnsi" w:hAnsiTheme="minorHAnsi" w:cstheme="minorHAnsi"/>
                <w:sz w:val="22"/>
                <w:szCs w:val="22"/>
              </w:rPr>
              <w:t>Qualification</w:t>
            </w:r>
          </w:p>
        </w:tc>
      </w:tr>
      <w:tr w:rsidR="00ED7CB0" w:rsidRPr="00D45C7A" w14:paraId="38F864D3" w14:textId="77777777" w:rsidTr="4390D89D">
        <w:trPr>
          <w:trHeight w:val="220"/>
        </w:trPr>
        <w:tc>
          <w:tcPr>
            <w:tcW w:w="3116" w:type="dxa"/>
          </w:tcPr>
          <w:p w14:paraId="08E2A432" w14:textId="77777777" w:rsidR="00ED7CB0" w:rsidRPr="00D45C7A" w:rsidRDefault="00ED7CB0" w:rsidP="000F6FD0">
            <w:pPr>
              <w:jc w:val="center"/>
            </w:pPr>
            <w:r>
              <w:t>Blank Result</w:t>
            </w:r>
          </w:p>
        </w:tc>
        <w:tc>
          <w:tcPr>
            <w:tcW w:w="3117" w:type="dxa"/>
          </w:tcPr>
          <w:p w14:paraId="79C1C590" w14:textId="77777777" w:rsidR="00ED7CB0" w:rsidRPr="00D45C7A" w:rsidRDefault="00ED7CB0" w:rsidP="000F6FD0">
            <w:pPr>
              <w:jc w:val="center"/>
            </w:pPr>
            <w:r>
              <w:t xml:space="preserve">Sample Result </w:t>
            </w:r>
          </w:p>
        </w:tc>
        <w:tc>
          <w:tcPr>
            <w:tcW w:w="3117" w:type="dxa"/>
          </w:tcPr>
          <w:p w14:paraId="19C51662" w14:textId="77777777" w:rsidR="00ED7CB0" w:rsidRPr="00D45C7A" w:rsidRDefault="00ED7CB0" w:rsidP="000F6FD0">
            <w:pPr>
              <w:jc w:val="center"/>
            </w:pPr>
            <w:r>
              <w:t>Action</w:t>
            </w:r>
          </w:p>
        </w:tc>
      </w:tr>
      <w:tr w:rsidR="00ED7CB0" w:rsidRPr="00D45C7A" w14:paraId="6A14AC79" w14:textId="77777777" w:rsidTr="4390D89D">
        <w:trPr>
          <w:trHeight w:val="215"/>
        </w:trPr>
        <w:tc>
          <w:tcPr>
            <w:tcW w:w="3116" w:type="dxa"/>
          </w:tcPr>
          <w:p w14:paraId="2C40C779" w14:textId="77777777" w:rsidR="00ED7CB0" w:rsidRPr="00D45C7A" w:rsidRDefault="00ED7CB0" w:rsidP="000F6FD0">
            <w:pPr>
              <w:jc w:val="center"/>
            </w:pPr>
            <w:r>
              <w:t>Detection</w:t>
            </w:r>
          </w:p>
        </w:tc>
        <w:tc>
          <w:tcPr>
            <w:tcW w:w="3117" w:type="dxa"/>
          </w:tcPr>
          <w:p w14:paraId="4C31381C" w14:textId="77777777" w:rsidR="00ED7CB0" w:rsidRPr="00D45C7A" w:rsidRDefault="00ED7CB0" w:rsidP="000F6FD0">
            <w:pPr>
              <w:jc w:val="center"/>
            </w:pPr>
            <w:r>
              <w:t>Non-detect</w:t>
            </w:r>
          </w:p>
        </w:tc>
        <w:tc>
          <w:tcPr>
            <w:tcW w:w="3117" w:type="dxa"/>
          </w:tcPr>
          <w:p w14:paraId="17426B22" w14:textId="77777777" w:rsidR="00ED7CB0" w:rsidRPr="00D45C7A" w:rsidRDefault="00ED7CB0" w:rsidP="000F6FD0">
            <w:pPr>
              <w:jc w:val="center"/>
            </w:pPr>
            <w:r>
              <w:t>No Action</w:t>
            </w:r>
          </w:p>
        </w:tc>
      </w:tr>
      <w:tr w:rsidR="00ED7CB0" w14:paraId="4241940B" w14:textId="77777777" w:rsidTr="4390D89D">
        <w:trPr>
          <w:trHeight w:val="215"/>
        </w:trPr>
        <w:tc>
          <w:tcPr>
            <w:tcW w:w="3116" w:type="dxa"/>
            <w:vAlign w:val="center"/>
          </w:tcPr>
          <w:p w14:paraId="362995D8" w14:textId="77777777" w:rsidR="00ED7CB0" w:rsidRDefault="00ED7CB0" w:rsidP="000F6FD0">
            <w:pPr>
              <w:jc w:val="center"/>
            </w:pPr>
            <w:r>
              <w:t>&lt; QL</w:t>
            </w:r>
          </w:p>
        </w:tc>
        <w:tc>
          <w:tcPr>
            <w:tcW w:w="3117" w:type="dxa"/>
          </w:tcPr>
          <w:p w14:paraId="74664AEB" w14:textId="77777777" w:rsidR="00ED7CB0" w:rsidRDefault="00ED7CB0" w:rsidP="000F6FD0">
            <w:pPr>
              <w:jc w:val="center"/>
            </w:pPr>
            <w:r>
              <w:t>&lt; QL</w:t>
            </w:r>
          </w:p>
        </w:tc>
        <w:tc>
          <w:tcPr>
            <w:tcW w:w="3117" w:type="dxa"/>
            <w:vAlign w:val="center"/>
          </w:tcPr>
          <w:p w14:paraId="13551634" w14:textId="68F657C3" w:rsidR="00ED7CB0" w:rsidRDefault="00E32EDF" w:rsidP="000F6FD0">
            <w:pPr>
              <w:jc w:val="center"/>
            </w:pPr>
            <w:r>
              <w:t xml:space="preserve">Report at QL and qualify </w:t>
            </w:r>
            <w:r w:rsidR="00ED7CB0">
              <w:t>U</w:t>
            </w:r>
          </w:p>
        </w:tc>
      </w:tr>
      <w:tr w:rsidR="00ED7CB0" w:rsidRPr="00D45C7A" w14:paraId="4A1E820B" w14:textId="77777777" w:rsidTr="4390D89D">
        <w:trPr>
          <w:trHeight w:val="215"/>
        </w:trPr>
        <w:tc>
          <w:tcPr>
            <w:tcW w:w="3116" w:type="dxa"/>
            <w:vAlign w:val="center"/>
          </w:tcPr>
          <w:p w14:paraId="68D94AF3" w14:textId="77777777" w:rsidR="00ED7CB0" w:rsidRPr="00D45C7A" w:rsidRDefault="00ED7CB0" w:rsidP="000F6FD0">
            <w:pPr>
              <w:jc w:val="center"/>
            </w:pPr>
            <w:r>
              <w:t>&lt; QL</w:t>
            </w:r>
          </w:p>
        </w:tc>
        <w:tc>
          <w:tcPr>
            <w:tcW w:w="3117" w:type="dxa"/>
          </w:tcPr>
          <w:p w14:paraId="731D4E20" w14:textId="77777777" w:rsidR="00ED7CB0" w:rsidRPr="00D45C7A" w:rsidRDefault="00ED7CB0" w:rsidP="000F6FD0">
            <w:pPr>
              <w:jc w:val="center"/>
            </w:pPr>
            <w:r>
              <w:t>≥ QL but &lt; 2x Blank Result for common laboratory contaminants</w:t>
            </w:r>
          </w:p>
        </w:tc>
        <w:tc>
          <w:tcPr>
            <w:tcW w:w="3117" w:type="dxa"/>
            <w:vAlign w:val="center"/>
          </w:tcPr>
          <w:p w14:paraId="464B1983" w14:textId="67D55C84" w:rsidR="00ED7CB0" w:rsidRPr="00D45C7A" w:rsidRDefault="00583690" w:rsidP="000F6FD0">
            <w:pPr>
              <w:jc w:val="center"/>
            </w:pPr>
            <w:r>
              <w:t xml:space="preserve">Report at QL and qualify </w:t>
            </w:r>
            <w:r w:rsidR="00ED7CB0">
              <w:t>U</w:t>
            </w:r>
          </w:p>
        </w:tc>
      </w:tr>
      <w:tr w:rsidR="00ED7CB0" w:rsidRPr="00D45C7A" w14:paraId="0B82F3A9" w14:textId="77777777" w:rsidTr="4390D89D">
        <w:trPr>
          <w:trHeight w:val="215"/>
        </w:trPr>
        <w:tc>
          <w:tcPr>
            <w:tcW w:w="3116" w:type="dxa"/>
            <w:vAlign w:val="center"/>
          </w:tcPr>
          <w:p w14:paraId="0F6FB677" w14:textId="77777777" w:rsidR="00ED7CB0" w:rsidRPr="00D45C7A" w:rsidRDefault="00ED7CB0" w:rsidP="000F6FD0">
            <w:pPr>
              <w:jc w:val="center"/>
            </w:pPr>
            <w:r>
              <w:t>&lt; QL</w:t>
            </w:r>
          </w:p>
        </w:tc>
        <w:tc>
          <w:tcPr>
            <w:tcW w:w="3117" w:type="dxa"/>
          </w:tcPr>
          <w:p w14:paraId="4BB7BE3C" w14:textId="77777777" w:rsidR="00ED7CB0" w:rsidRPr="00D45C7A" w:rsidRDefault="00ED7CB0" w:rsidP="000F6FD0">
            <w:pPr>
              <w:jc w:val="center"/>
            </w:pPr>
            <w:r>
              <w:t>≥ QL (≥ 2x Blank Result for common laboratory contaminants)</w:t>
            </w:r>
          </w:p>
        </w:tc>
        <w:tc>
          <w:tcPr>
            <w:tcW w:w="3117" w:type="dxa"/>
            <w:vAlign w:val="center"/>
          </w:tcPr>
          <w:p w14:paraId="6309D6D1" w14:textId="6EF78A97" w:rsidR="00ED7CB0" w:rsidRPr="00D45C7A" w:rsidRDefault="00732DF6" w:rsidP="000F6FD0">
            <w:pPr>
              <w:jc w:val="center"/>
            </w:pPr>
            <w:r>
              <w:t xml:space="preserve">Report at sample result and qualify </w:t>
            </w:r>
            <w:r w:rsidR="00ED7CB0">
              <w:t>J</w:t>
            </w:r>
            <w:r w:rsidR="00583690">
              <w:t>+</w:t>
            </w:r>
          </w:p>
        </w:tc>
      </w:tr>
      <w:tr w:rsidR="00ED7CB0" w:rsidRPr="00D45C7A" w14:paraId="17B2106C" w14:textId="77777777" w:rsidTr="4390D89D">
        <w:trPr>
          <w:trHeight w:val="215"/>
        </w:trPr>
        <w:tc>
          <w:tcPr>
            <w:tcW w:w="3116" w:type="dxa"/>
          </w:tcPr>
          <w:p w14:paraId="39CA44CE" w14:textId="77777777" w:rsidR="00ED7CB0" w:rsidRPr="00D45C7A" w:rsidRDefault="00ED7CB0" w:rsidP="000F6FD0">
            <w:pPr>
              <w:jc w:val="center"/>
            </w:pPr>
            <w:r>
              <w:rPr>
                <w:rFonts w:cstheme="minorHAnsi"/>
              </w:rPr>
              <w:t>≥</w:t>
            </w:r>
            <w:r>
              <w:t xml:space="preserve"> QL</w:t>
            </w:r>
          </w:p>
        </w:tc>
        <w:tc>
          <w:tcPr>
            <w:tcW w:w="3117" w:type="dxa"/>
          </w:tcPr>
          <w:p w14:paraId="1FBE6556" w14:textId="77777777" w:rsidR="00ED7CB0" w:rsidRPr="00D45C7A" w:rsidRDefault="00ED7CB0" w:rsidP="000F6FD0">
            <w:pPr>
              <w:jc w:val="center"/>
            </w:pPr>
            <w:r>
              <w:t>&lt; QL</w:t>
            </w:r>
          </w:p>
        </w:tc>
        <w:tc>
          <w:tcPr>
            <w:tcW w:w="3117" w:type="dxa"/>
          </w:tcPr>
          <w:p w14:paraId="66424731" w14:textId="2EF5B1E3" w:rsidR="00ED7CB0" w:rsidRPr="00D45C7A" w:rsidRDefault="00732DF6" w:rsidP="000F6FD0">
            <w:pPr>
              <w:jc w:val="center"/>
            </w:pPr>
            <w:r>
              <w:t xml:space="preserve">Report at QL and qualify </w:t>
            </w:r>
            <w:r w:rsidR="00ED7CB0">
              <w:t>U</w:t>
            </w:r>
          </w:p>
        </w:tc>
      </w:tr>
      <w:tr w:rsidR="00ED7CB0" w:rsidRPr="00D45C7A" w14:paraId="31A7A601" w14:textId="77777777" w:rsidTr="4390D89D">
        <w:trPr>
          <w:trHeight w:val="215"/>
        </w:trPr>
        <w:tc>
          <w:tcPr>
            <w:tcW w:w="3116" w:type="dxa"/>
          </w:tcPr>
          <w:p w14:paraId="252CCF1C" w14:textId="77777777" w:rsidR="00ED7CB0" w:rsidRPr="00D45C7A" w:rsidRDefault="00ED7CB0" w:rsidP="000F6FD0">
            <w:pPr>
              <w:jc w:val="center"/>
            </w:pPr>
            <w:r>
              <w:rPr>
                <w:rFonts w:cstheme="minorHAnsi"/>
              </w:rPr>
              <w:t>≥</w:t>
            </w:r>
            <w:r>
              <w:t xml:space="preserve"> QL</w:t>
            </w:r>
          </w:p>
        </w:tc>
        <w:tc>
          <w:tcPr>
            <w:tcW w:w="3117" w:type="dxa"/>
          </w:tcPr>
          <w:p w14:paraId="431230C6" w14:textId="77777777" w:rsidR="00ED7CB0" w:rsidRPr="00D45C7A" w:rsidRDefault="00ED7CB0" w:rsidP="000F6FD0">
            <w:pPr>
              <w:jc w:val="center"/>
            </w:pPr>
            <w:r>
              <w:t>≥ QL but &lt; Blank Result</w:t>
            </w:r>
          </w:p>
        </w:tc>
        <w:tc>
          <w:tcPr>
            <w:tcW w:w="3117" w:type="dxa"/>
            <w:vAlign w:val="center"/>
          </w:tcPr>
          <w:p w14:paraId="2BE60056" w14:textId="3EB361C3" w:rsidR="00ED7CB0" w:rsidRPr="00D45C7A" w:rsidRDefault="00732DF6" w:rsidP="000F6FD0">
            <w:pPr>
              <w:jc w:val="center"/>
            </w:pPr>
            <w:r>
              <w:t xml:space="preserve">Report at sample result and qualify </w:t>
            </w:r>
            <w:r w:rsidR="00ED7CB0">
              <w:t>U</w:t>
            </w:r>
          </w:p>
        </w:tc>
      </w:tr>
      <w:tr w:rsidR="00ED7CB0" w:rsidRPr="00D45C7A" w14:paraId="52F60231" w14:textId="77777777" w:rsidTr="4390D89D">
        <w:trPr>
          <w:trHeight w:val="215"/>
        </w:trPr>
        <w:tc>
          <w:tcPr>
            <w:tcW w:w="3116" w:type="dxa"/>
            <w:vAlign w:val="center"/>
          </w:tcPr>
          <w:p w14:paraId="07984823" w14:textId="77777777" w:rsidR="00ED7CB0" w:rsidRPr="00D45C7A" w:rsidRDefault="00ED7CB0" w:rsidP="000F6FD0">
            <w:pPr>
              <w:jc w:val="center"/>
            </w:pPr>
            <w:r>
              <w:rPr>
                <w:rFonts w:cstheme="minorHAnsi"/>
              </w:rPr>
              <w:t>≥</w:t>
            </w:r>
            <w:r>
              <w:t>QL</w:t>
            </w:r>
          </w:p>
        </w:tc>
        <w:tc>
          <w:tcPr>
            <w:tcW w:w="3117" w:type="dxa"/>
          </w:tcPr>
          <w:p w14:paraId="78141D09" w14:textId="77777777" w:rsidR="00ED7CB0" w:rsidRPr="00D45C7A" w:rsidRDefault="00ED7CB0" w:rsidP="000F6FD0">
            <w:pPr>
              <w:jc w:val="center"/>
            </w:pPr>
            <w:r>
              <w:t>≥ QL and ≥ Blank Result or 2x Blank Result for common laboratory contaminants</w:t>
            </w:r>
          </w:p>
        </w:tc>
        <w:tc>
          <w:tcPr>
            <w:tcW w:w="3117" w:type="dxa"/>
            <w:vAlign w:val="center"/>
          </w:tcPr>
          <w:p w14:paraId="36AAD68F" w14:textId="6574A3ED" w:rsidR="00ED7CB0" w:rsidRPr="00D45C7A" w:rsidRDefault="00732DF6" w:rsidP="000F6FD0">
            <w:pPr>
              <w:jc w:val="center"/>
            </w:pPr>
            <w:r>
              <w:t xml:space="preserve">Report at sample result and qualify </w:t>
            </w:r>
            <w:r w:rsidR="00ED7CB0">
              <w:t>J</w:t>
            </w:r>
            <w:r>
              <w:t>+</w:t>
            </w:r>
          </w:p>
        </w:tc>
      </w:tr>
      <w:tr w:rsidR="00834540" w:rsidRPr="00D45C7A" w14:paraId="41E2A9F0" w14:textId="77777777" w:rsidTr="4390D89D">
        <w:trPr>
          <w:trHeight w:val="215"/>
        </w:trPr>
        <w:tc>
          <w:tcPr>
            <w:tcW w:w="3116" w:type="dxa"/>
            <w:vAlign w:val="center"/>
          </w:tcPr>
          <w:p w14:paraId="546F2E48" w14:textId="0664DBE1" w:rsidR="00834540" w:rsidRDefault="00834540" w:rsidP="000F6FD0">
            <w:pPr>
              <w:jc w:val="center"/>
              <w:rPr>
                <w:rFonts w:cstheme="minorHAnsi"/>
              </w:rPr>
            </w:pPr>
            <w:r>
              <w:rPr>
                <w:rFonts w:cstheme="minorHAnsi"/>
              </w:rPr>
              <w:t>Gross contamination*</w:t>
            </w:r>
          </w:p>
        </w:tc>
        <w:tc>
          <w:tcPr>
            <w:tcW w:w="3117" w:type="dxa"/>
          </w:tcPr>
          <w:p w14:paraId="484F61A3" w14:textId="79126B85" w:rsidR="00834540" w:rsidRDefault="00834540" w:rsidP="000F6FD0">
            <w:pPr>
              <w:jc w:val="center"/>
            </w:pPr>
            <w:r>
              <w:t>Detect</w:t>
            </w:r>
            <w:r w:rsidR="00494807">
              <w:t>ion</w:t>
            </w:r>
          </w:p>
        </w:tc>
        <w:tc>
          <w:tcPr>
            <w:tcW w:w="3117" w:type="dxa"/>
            <w:vAlign w:val="center"/>
          </w:tcPr>
          <w:p w14:paraId="2861901E" w14:textId="0D00609A" w:rsidR="00834540" w:rsidRDefault="00834540" w:rsidP="000F6FD0">
            <w:pPr>
              <w:jc w:val="center"/>
            </w:pPr>
            <w:r>
              <w:t>Report at sample result and qualify R</w:t>
            </w:r>
          </w:p>
        </w:tc>
      </w:tr>
    </w:tbl>
    <w:bookmarkEnd w:id="0"/>
    <w:bookmarkEnd w:id="1"/>
    <w:p w14:paraId="42BEEE43" w14:textId="32F1B02F" w:rsidR="00ED7CB0" w:rsidRDefault="00834540" w:rsidP="00ED7CB0">
      <w:r>
        <w:t>* Gross contamination is when blank results are greater than the initial calibration high-point standard concentration.</w:t>
      </w:r>
    </w:p>
    <w:tbl>
      <w:tblPr>
        <w:tblStyle w:val="TableGrid"/>
        <w:tblW w:w="0" w:type="auto"/>
        <w:tblLook w:val="04A0" w:firstRow="1" w:lastRow="0" w:firstColumn="1" w:lastColumn="0" w:noHBand="0" w:noVBand="1"/>
      </w:tblPr>
      <w:tblGrid>
        <w:gridCol w:w="4675"/>
        <w:gridCol w:w="4675"/>
      </w:tblGrid>
      <w:tr w:rsidR="00ED7CB0" w:rsidRPr="00DC4965" w14:paraId="48B01ED0" w14:textId="77777777" w:rsidTr="2BA1A1D3">
        <w:trPr>
          <w:tblHeader/>
        </w:trPr>
        <w:tc>
          <w:tcPr>
            <w:tcW w:w="9350" w:type="dxa"/>
            <w:gridSpan w:val="2"/>
            <w:shd w:val="clear" w:color="auto" w:fill="D9D9D9" w:themeFill="background1" w:themeFillShade="D9"/>
          </w:tcPr>
          <w:p w14:paraId="31C75FBA" w14:textId="77777777" w:rsidR="00ED7CB0" w:rsidRPr="00DC4965" w:rsidRDefault="00ED7CB0" w:rsidP="000F6FD0">
            <w:pPr>
              <w:rPr>
                <w:b/>
                <w:bCs/>
              </w:rPr>
            </w:pPr>
            <w:r w:rsidRPr="00DC4965">
              <w:rPr>
                <w:b/>
                <w:bCs/>
              </w:rPr>
              <w:t>2.2   Volatile Data Review - Laboratory Control Sample (LCS)</w:t>
            </w:r>
          </w:p>
        </w:tc>
      </w:tr>
      <w:tr w:rsidR="00ED7CB0" w:rsidRPr="00DC4965" w14:paraId="7D7F1D80" w14:textId="77777777" w:rsidTr="2BA1A1D3">
        <w:tc>
          <w:tcPr>
            <w:tcW w:w="9350" w:type="dxa"/>
            <w:gridSpan w:val="2"/>
            <w:shd w:val="clear" w:color="auto" w:fill="D9D9D9" w:themeFill="background1" w:themeFillShade="D9"/>
          </w:tcPr>
          <w:p w14:paraId="279AECE7" w14:textId="77777777" w:rsidR="00ED7CB0" w:rsidRPr="00DC4965" w:rsidRDefault="00ED7CB0" w:rsidP="000F6FD0">
            <w:pPr>
              <w:rPr>
                <w:b/>
                <w:bCs/>
              </w:rPr>
            </w:pPr>
            <w:r w:rsidRPr="00DC4965">
              <w:rPr>
                <w:b/>
                <w:bCs/>
              </w:rPr>
              <w:t>An LCS should be included with each batch of samples (approximately 20).  The LCS consists of an aliquot of a clean (control) matrix similar to the matrix type of the sample and at the same weight or volume.  The LCS is spiked with the same analytes at the same concentration as the matrix spike.  When the results of the matrix spike indicate a potential problem due to the sample matrix itself, the LCS verifies that the laboratory can perform analyses in a clean matrix.</w:t>
            </w:r>
            <w:r>
              <w:rPr>
                <w:b/>
                <w:bCs/>
              </w:rPr>
              <w:t xml:space="preserve"> Suggested surrogate recovery limits are 70% - 130% or acceptance criteria set by the lab.</w:t>
            </w:r>
          </w:p>
        </w:tc>
      </w:tr>
      <w:tr w:rsidR="00ED7CB0" w:rsidRPr="00DC4965" w14:paraId="69DB3E20" w14:textId="77777777" w:rsidTr="2BA1A1D3">
        <w:tc>
          <w:tcPr>
            <w:tcW w:w="4675" w:type="dxa"/>
            <w:shd w:val="clear" w:color="auto" w:fill="D9D9D9" w:themeFill="background1" w:themeFillShade="D9"/>
          </w:tcPr>
          <w:p w14:paraId="109BB190" w14:textId="77777777" w:rsidR="00ED7CB0" w:rsidRPr="007610DE" w:rsidRDefault="00ED7CB0" w:rsidP="000F6FD0">
            <w:r w:rsidRPr="007610DE">
              <w:t>2.2.1</w:t>
            </w:r>
            <w:r w:rsidRPr="007610DE">
              <w:tab/>
              <w:t>Was an LCS prepared, extracted, analyzed</w:t>
            </w:r>
            <w:r>
              <w:t>,</w:t>
            </w:r>
            <w:r w:rsidRPr="007610DE">
              <w:t xml:space="preserve"> and reported once per batch of 20 samples?</w:t>
            </w:r>
          </w:p>
          <w:p w14:paraId="3FF790BE" w14:textId="77777777" w:rsidR="00ED7CB0" w:rsidRPr="00DC4965" w:rsidRDefault="00ED7CB0" w:rsidP="000F6FD0">
            <w:pPr>
              <w:rPr>
                <w:b/>
                <w:bCs/>
              </w:rPr>
            </w:pPr>
          </w:p>
          <w:p w14:paraId="1778A20B" w14:textId="77777777" w:rsidR="00ED7CB0" w:rsidRPr="00DC4965" w:rsidRDefault="00ED7CB0" w:rsidP="000F6FD0">
            <w:pPr>
              <w:rPr>
                <w:b/>
                <w:bCs/>
              </w:rPr>
            </w:pPr>
            <w:r w:rsidRPr="00DC4965">
              <w:rPr>
                <w:b/>
                <w:bCs/>
              </w:rPr>
              <w:t xml:space="preserve">Note:  This information should be included in the QA package provided by the lab. If not, contact the laboratory and request that the </w:t>
            </w:r>
            <w:r w:rsidRPr="00DC4965">
              <w:rPr>
                <w:b/>
                <w:bCs/>
              </w:rPr>
              <w:lastRenderedPageBreak/>
              <w:t>information be submitted</w:t>
            </w:r>
            <w:r w:rsidRPr="0139E7A8">
              <w:rPr>
                <w:b/>
                <w:bCs/>
              </w:rPr>
              <w:t>. This</w:t>
            </w:r>
            <w:r w:rsidRPr="00DC4965">
              <w:rPr>
                <w:b/>
                <w:bCs/>
              </w:rPr>
              <w:t xml:space="preserve"> information should be found in the injection log.</w:t>
            </w:r>
          </w:p>
          <w:p w14:paraId="09ED2B62" w14:textId="77777777" w:rsidR="00ED7CB0" w:rsidRPr="00DC4965" w:rsidRDefault="00ED7CB0" w:rsidP="000F6FD0">
            <w:pPr>
              <w:rPr>
                <w:b/>
                <w:bCs/>
              </w:rPr>
            </w:pPr>
          </w:p>
          <w:p w14:paraId="6AA60898" w14:textId="77777777" w:rsidR="00ED7CB0" w:rsidRPr="007610DE" w:rsidRDefault="00ED7CB0" w:rsidP="000F6FD0">
            <w:pPr>
              <w:rPr>
                <w:i/>
                <w:iCs/>
              </w:rPr>
            </w:pPr>
            <w:r w:rsidRPr="007610DE">
              <w:rPr>
                <w:i/>
                <w:iCs/>
              </w:rPr>
              <w:t xml:space="preserve">Action:  If LCS information cannot be found, contact the </w:t>
            </w:r>
            <w:r>
              <w:rPr>
                <w:i/>
                <w:iCs/>
              </w:rPr>
              <w:t>applicable party</w:t>
            </w:r>
            <w:r w:rsidRPr="007610DE">
              <w:rPr>
                <w:i/>
                <w:iCs/>
              </w:rPr>
              <w:t xml:space="preserve"> or laboratory for re-submittal of the data package. If LCS information is not present, qualify all </w:t>
            </w:r>
            <w:r>
              <w:rPr>
                <w:i/>
                <w:iCs/>
              </w:rPr>
              <w:t>detected</w:t>
            </w:r>
            <w:r w:rsidRPr="007610DE">
              <w:rPr>
                <w:i/>
                <w:iCs/>
              </w:rPr>
              <w:t xml:space="preserve"> results as “J” </w:t>
            </w:r>
            <w:r w:rsidRPr="00795D6F">
              <w:rPr>
                <w:i/>
                <w:iCs/>
              </w:rPr>
              <w:t>and all non</w:t>
            </w:r>
            <w:r>
              <w:rPr>
                <w:i/>
                <w:iCs/>
              </w:rPr>
              <w:t>-</w:t>
            </w:r>
            <w:r w:rsidRPr="00795D6F">
              <w:rPr>
                <w:i/>
                <w:iCs/>
              </w:rPr>
              <w:t xml:space="preserve">detect results as “UJ” or </w:t>
            </w:r>
            <w:r w:rsidRPr="007610DE">
              <w:rPr>
                <w:i/>
                <w:iCs/>
              </w:rPr>
              <w:t>reject all results based on best professional judgment.</w:t>
            </w:r>
          </w:p>
        </w:tc>
        <w:tc>
          <w:tcPr>
            <w:tcW w:w="4675" w:type="dxa"/>
          </w:tcPr>
          <w:p w14:paraId="7EA49FAF" w14:textId="77777777" w:rsidR="00ED7CB0" w:rsidRDefault="00ED7CB0" w:rsidP="000F6FD0">
            <w:pPr>
              <w:rPr>
                <w:b/>
                <w:bCs/>
              </w:rPr>
            </w:pPr>
            <w:r>
              <w:rPr>
                <w:b/>
                <w:bCs/>
              </w:rPr>
              <w:lastRenderedPageBreak/>
              <w:t>Indicate yes or no:</w:t>
            </w:r>
          </w:p>
          <w:p w14:paraId="0C8EEF11" w14:textId="77777777" w:rsidR="00ED7CB0" w:rsidRPr="00995725" w:rsidRDefault="00ED7CB0" w:rsidP="000F6FD0"/>
          <w:p w14:paraId="627627A1" w14:textId="77777777" w:rsidR="00ED7CB0" w:rsidRPr="00DC4965" w:rsidRDefault="00ED7CB0" w:rsidP="000F6FD0">
            <w:pPr>
              <w:rPr>
                <w:b/>
                <w:bCs/>
              </w:rPr>
            </w:pPr>
            <w:r>
              <w:rPr>
                <w:b/>
                <w:bCs/>
              </w:rPr>
              <w:t>Summarize any actions taken:</w:t>
            </w:r>
          </w:p>
        </w:tc>
      </w:tr>
      <w:tr w:rsidR="00ED7CB0" w:rsidRPr="00DC4965" w14:paraId="24E61B28" w14:textId="77777777" w:rsidTr="2BA1A1D3">
        <w:tc>
          <w:tcPr>
            <w:tcW w:w="4675" w:type="dxa"/>
            <w:shd w:val="clear" w:color="auto" w:fill="D9D9D9" w:themeFill="background1" w:themeFillShade="D9"/>
          </w:tcPr>
          <w:p w14:paraId="1AEB4E62" w14:textId="77777777" w:rsidR="00ED7CB0" w:rsidRPr="00AA12CE" w:rsidRDefault="00ED7CB0" w:rsidP="000F6FD0">
            <w:r w:rsidRPr="00AA12CE">
              <w:t>2.2.2</w:t>
            </w:r>
            <w:r w:rsidRPr="00AA12CE">
              <w:tab/>
              <w:t>Does the LCS contain the following volatile target compounds in addition to the required surrogates?</w:t>
            </w:r>
          </w:p>
          <w:p w14:paraId="502AC9A3" w14:textId="77777777" w:rsidR="00ED7CB0" w:rsidRPr="00AA12CE" w:rsidRDefault="00ED7CB0" w:rsidP="000F6FD0"/>
          <w:p w14:paraId="1486495C" w14:textId="77777777" w:rsidR="00ED7CB0" w:rsidRPr="00AA12CE" w:rsidRDefault="00ED7CB0" w:rsidP="000F6FD0">
            <w:r w:rsidRPr="00AA12CE">
              <w:t>1,1-Dichloroethene</w:t>
            </w:r>
            <w:r w:rsidRPr="00AA12CE">
              <w:tab/>
              <w:t>Toluene</w:t>
            </w:r>
          </w:p>
          <w:p w14:paraId="7EB90B69" w14:textId="77777777" w:rsidR="00ED7CB0" w:rsidRPr="00AA12CE" w:rsidRDefault="00ED7CB0" w:rsidP="000F6FD0">
            <w:r w:rsidRPr="00AA12CE">
              <w:t>Trichloroethene</w:t>
            </w:r>
            <w:r w:rsidRPr="00AA12CE">
              <w:tab/>
            </w:r>
            <w:r w:rsidRPr="00AA12CE">
              <w:tab/>
              <w:t>Benzene</w:t>
            </w:r>
          </w:p>
          <w:p w14:paraId="1BF7B5CE" w14:textId="77777777" w:rsidR="00ED7CB0" w:rsidRPr="00AA12CE" w:rsidRDefault="00ED7CB0" w:rsidP="000F6FD0">
            <w:r w:rsidRPr="00AA12CE">
              <w:t>Chlorobenzene</w:t>
            </w:r>
          </w:p>
          <w:p w14:paraId="090660A7" w14:textId="77777777" w:rsidR="00ED7CB0" w:rsidRPr="00AA12CE" w:rsidRDefault="00ED7CB0" w:rsidP="000F6FD0"/>
          <w:p w14:paraId="54B69EB7" w14:textId="77777777" w:rsidR="00ED7CB0" w:rsidRPr="001B6E5B" w:rsidRDefault="00ED7CB0" w:rsidP="000F6FD0">
            <w:pPr>
              <w:rPr>
                <w:b/>
                <w:bCs/>
              </w:rPr>
            </w:pPr>
            <w:r w:rsidRPr="001B6E5B">
              <w:rPr>
                <w:b/>
                <w:bCs/>
              </w:rPr>
              <w:t>Note:  Method 8260</w:t>
            </w:r>
            <w:r>
              <w:rPr>
                <w:b/>
                <w:bCs/>
              </w:rPr>
              <w:t>D</w:t>
            </w:r>
            <w:r w:rsidRPr="001B6E5B">
              <w:rPr>
                <w:b/>
                <w:bCs/>
              </w:rPr>
              <w:t xml:space="preserve"> calls for the LCS to be spiked at the same level as the matrix spike. </w:t>
            </w:r>
            <w:r>
              <w:rPr>
                <w:b/>
                <w:bCs/>
              </w:rPr>
              <w:t>See Section 5.5.1 of Method 5000 for the recommended purgeable matrix spiking solution for 8260.</w:t>
            </w:r>
            <w:r w:rsidRPr="001B6E5B">
              <w:rPr>
                <w:b/>
                <w:bCs/>
              </w:rPr>
              <w:t xml:space="preserve">  When the results of the matrix spike indicate a problem due to sample matrix, the LCS should be checked to determine whether the laboratory can perform the analysis on a clean matrix.</w:t>
            </w:r>
          </w:p>
        </w:tc>
        <w:tc>
          <w:tcPr>
            <w:tcW w:w="4675" w:type="dxa"/>
          </w:tcPr>
          <w:p w14:paraId="7CF3A739" w14:textId="77777777" w:rsidR="00ED7CB0" w:rsidRDefault="00ED7CB0" w:rsidP="000F6FD0">
            <w:pPr>
              <w:rPr>
                <w:b/>
                <w:bCs/>
              </w:rPr>
            </w:pPr>
            <w:r>
              <w:rPr>
                <w:b/>
                <w:bCs/>
              </w:rPr>
              <w:t>Indicate yes or no:</w:t>
            </w:r>
          </w:p>
          <w:p w14:paraId="2A632042" w14:textId="77777777" w:rsidR="00ED7CB0" w:rsidRPr="00995725" w:rsidRDefault="00ED7CB0" w:rsidP="000F6FD0"/>
          <w:p w14:paraId="37D942D8" w14:textId="77777777" w:rsidR="00ED7CB0" w:rsidRPr="00DC4965" w:rsidRDefault="00ED7CB0" w:rsidP="000F6FD0">
            <w:pPr>
              <w:rPr>
                <w:b/>
                <w:bCs/>
              </w:rPr>
            </w:pPr>
          </w:p>
        </w:tc>
      </w:tr>
      <w:tr w:rsidR="00ED7CB0" w:rsidRPr="00DC4965" w14:paraId="13BAFE5A" w14:textId="77777777" w:rsidTr="2BA1A1D3">
        <w:tc>
          <w:tcPr>
            <w:tcW w:w="4675" w:type="dxa"/>
            <w:shd w:val="clear" w:color="auto" w:fill="D9D9D9" w:themeFill="background1" w:themeFillShade="D9"/>
          </w:tcPr>
          <w:p w14:paraId="2AAC9A56" w14:textId="77777777" w:rsidR="00ED7CB0" w:rsidRDefault="00ED7CB0" w:rsidP="000F6FD0">
            <w:pPr>
              <w:rPr>
                <w:i/>
                <w:iCs/>
              </w:rPr>
            </w:pPr>
            <w:r w:rsidRPr="00AA12CE">
              <w:rPr>
                <w:i/>
                <w:iCs/>
              </w:rPr>
              <w:t>2.2.3</w:t>
            </w:r>
            <w:r w:rsidRPr="00AA12CE">
              <w:rPr>
                <w:i/>
                <w:iCs/>
              </w:rPr>
              <w:tab/>
              <w:t xml:space="preserve">Do the percent recoveries (%R) meet the </w:t>
            </w:r>
            <w:r>
              <w:rPr>
                <w:i/>
                <w:iCs/>
              </w:rPr>
              <w:t xml:space="preserve">suggested </w:t>
            </w:r>
            <w:r w:rsidRPr="00AA12CE">
              <w:rPr>
                <w:i/>
                <w:iCs/>
              </w:rPr>
              <w:t xml:space="preserve">QC limits </w:t>
            </w:r>
            <w:r>
              <w:rPr>
                <w:i/>
                <w:iCs/>
              </w:rPr>
              <w:t>or limits</w:t>
            </w:r>
            <w:r w:rsidRPr="00AA12CE" w:rsidDel="00BC2183">
              <w:rPr>
                <w:i/>
                <w:iCs/>
              </w:rPr>
              <w:t xml:space="preserve"> </w:t>
            </w:r>
            <w:r w:rsidRPr="00AA12CE">
              <w:rPr>
                <w:i/>
                <w:iCs/>
              </w:rPr>
              <w:t>provided by the lab?</w:t>
            </w:r>
          </w:p>
          <w:p w14:paraId="3AA98FB0" w14:textId="77777777" w:rsidR="00ED7CB0" w:rsidRDefault="00ED7CB0" w:rsidP="000F6FD0">
            <w:pPr>
              <w:rPr>
                <w:i/>
                <w:iCs/>
              </w:rPr>
            </w:pPr>
          </w:p>
          <w:p w14:paraId="15FA207E" w14:textId="77777777" w:rsidR="00ED7CB0" w:rsidRPr="00B16C4E" w:rsidRDefault="00ED7CB0" w:rsidP="000F6FD0">
            <w:pPr>
              <w:rPr>
                <w:b/>
                <w:bCs/>
              </w:rPr>
            </w:pPr>
            <w:r>
              <w:rPr>
                <w:b/>
                <w:bCs/>
              </w:rPr>
              <w:t xml:space="preserve">Note: </w:t>
            </w:r>
            <w:r w:rsidRPr="00FB25A5">
              <w:rPr>
                <w:b/>
                <w:bCs/>
              </w:rPr>
              <w:t>The laboratory should use 70 - 130% as interim acceptance criteria for recoveries of spiked analytes, until in-house LCS limits are developed</w:t>
            </w:r>
            <w:r>
              <w:rPr>
                <w:b/>
                <w:bCs/>
              </w:rPr>
              <w:t>.</w:t>
            </w:r>
          </w:p>
          <w:p w14:paraId="37BD352D" w14:textId="77777777" w:rsidR="00ED7CB0" w:rsidRPr="00AA12CE" w:rsidRDefault="00ED7CB0" w:rsidP="000F6FD0">
            <w:pPr>
              <w:rPr>
                <w:i/>
                <w:iCs/>
              </w:rPr>
            </w:pPr>
          </w:p>
          <w:p w14:paraId="70ADCA0C" w14:textId="47271C84" w:rsidR="00ED7CB0" w:rsidRPr="00AA12CE" w:rsidRDefault="00ED7CB0" w:rsidP="2BA1A1D3">
            <w:pPr>
              <w:rPr>
                <w:i/>
                <w:iCs/>
              </w:rPr>
            </w:pPr>
            <w:r w:rsidRPr="2BA1A1D3">
              <w:rPr>
                <w:i/>
                <w:iCs/>
              </w:rPr>
              <w:t xml:space="preserve">Action: Follow the directions in </w:t>
            </w:r>
            <w:r w:rsidR="136F22B7" w:rsidRPr="2BA1A1D3">
              <w:rPr>
                <w:i/>
                <w:iCs/>
              </w:rPr>
              <w:t>Table 2-2</w:t>
            </w:r>
            <w:r w:rsidRPr="2BA1A1D3">
              <w:rPr>
                <w:i/>
                <w:iCs/>
              </w:rPr>
              <w:t xml:space="preserve"> below for qualifying results.</w:t>
            </w:r>
          </w:p>
        </w:tc>
        <w:tc>
          <w:tcPr>
            <w:tcW w:w="4675" w:type="dxa"/>
          </w:tcPr>
          <w:p w14:paraId="562D323B" w14:textId="77777777" w:rsidR="00ED7CB0" w:rsidRDefault="00ED7CB0" w:rsidP="000F6FD0">
            <w:pPr>
              <w:rPr>
                <w:b/>
                <w:bCs/>
              </w:rPr>
            </w:pPr>
            <w:r>
              <w:rPr>
                <w:b/>
                <w:bCs/>
              </w:rPr>
              <w:t>Indicate yes or no:</w:t>
            </w:r>
          </w:p>
          <w:p w14:paraId="1EECF5A6" w14:textId="77777777" w:rsidR="00ED7CB0" w:rsidRPr="00E6331B" w:rsidRDefault="00ED7CB0" w:rsidP="000F6FD0"/>
          <w:p w14:paraId="0398B095" w14:textId="77777777" w:rsidR="00ED7CB0" w:rsidRPr="00DC4965" w:rsidRDefault="00ED7CB0" w:rsidP="000F6FD0">
            <w:pPr>
              <w:rPr>
                <w:b/>
                <w:bCs/>
              </w:rPr>
            </w:pPr>
            <w:r>
              <w:rPr>
                <w:b/>
                <w:bCs/>
              </w:rPr>
              <w:t>If no, l</w:t>
            </w:r>
            <w:r w:rsidRPr="00DC4965">
              <w:rPr>
                <w:b/>
                <w:bCs/>
              </w:rPr>
              <w:t>ist compounds and sample IDs that do not meet QC limits</w:t>
            </w:r>
            <w:r>
              <w:rPr>
                <w:b/>
                <w:bCs/>
              </w:rPr>
              <w:t xml:space="preserve"> and summarize actions taken</w:t>
            </w:r>
            <w:r w:rsidRPr="00DC4965">
              <w:rPr>
                <w:b/>
                <w:bCs/>
              </w:rPr>
              <w:t>:</w:t>
            </w:r>
          </w:p>
        </w:tc>
      </w:tr>
      <w:tr w:rsidR="00ED7CB0" w:rsidRPr="00DC4965" w14:paraId="2EB21D34" w14:textId="77777777" w:rsidTr="2BA1A1D3">
        <w:tc>
          <w:tcPr>
            <w:tcW w:w="4675" w:type="dxa"/>
            <w:shd w:val="clear" w:color="auto" w:fill="D9D9D9" w:themeFill="background1" w:themeFillShade="D9"/>
          </w:tcPr>
          <w:p w14:paraId="07BC7B58" w14:textId="77777777" w:rsidR="00ED7CB0" w:rsidRPr="00AA12CE" w:rsidRDefault="00ED7CB0" w:rsidP="000F6FD0">
            <w:r w:rsidRPr="00AA12CE">
              <w:t>2.2.4</w:t>
            </w:r>
            <w:r w:rsidRPr="00AA12CE">
              <w:tab/>
              <w:t>Verify the calculations for at least one %R.</w:t>
            </w:r>
          </w:p>
          <w:p w14:paraId="64D49EBB" w14:textId="77777777" w:rsidR="00ED7CB0" w:rsidRPr="00AA12CE" w:rsidRDefault="00ED7CB0" w:rsidP="000F6FD0"/>
          <w:p w14:paraId="4BDA5BE0" w14:textId="77777777" w:rsidR="00ED7CB0" w:rsidRPr="00AA12CE" w:rsidRDefault="00ED7CB0" w:rsidP="000F6FD0">
            <m:oMathPara>
              <m:oMath>
                <m:r>
                  <w:rPr>
                    <w:rFonts w:ascii="Cambria Math" w:hAnsi="Cambria Math"/>
                  </w:rPr>
                  <m:t xml:space="preserve">%R = </m:t>
                </m:r>
                <m:d>
                  <m:dPr>
                    <m:ctrlPr>
                      <w:rPr>
                        <w:rFonts w:ascii="Cambria Math" w:hAnsi="Cambria Math"/>
                        <w:i/>
                      </w:rPr>
                    </m:ctrlPr>
                  </m:dPr>
                  <m:e>
                    <m:f>
                      <m:fPr>
                        <m:ctrlPr>
                          <w:rPr>
                            <w:rFonts w:ascii="Cambria Math" w:hAnsi="Cambria Math"/>
                            <w:i/>
                          </w:rPr>
                        </m:ctrlPr>
                      </m:fPr>
                      <m:num>
                        <m:r>
                          <w:rPr>
                            <w:rFonts w:ascii="Cambria Math" w:hAnsi="Cambria Math"/>
                          </w:rPr>
                          <m:t xml:space="preserve">Measured Concentration </m:t>
                        </m:r>
                      </m:num>
                      <m:den>
                        <m:r>
                          <w:rPr>
                            <w:rFonts w:ascii="Cambria Math" w:hAnsi="Cambria Math"/>
                          </w:rPr>
                          <m:t>Spiked Amount</m:t>
                        </m:r>
                      </m:den>
                    </m:f>
                  </m:e>
                </m:d>
                <m:r>
                  <w:rPr>
                    <w:rFonts w:ascii="Cambria Math" w:hAnsi="Cambria Math"/>
                  </w:rPr>
                  <m:t xml:space="preserve"> ×100</m:t>
                </m:r>
              </m:oMath>
            </m:oMathPara>
          </w:p>
          <w:p w14:paraId="13038874" w14:textId="77777777" w:rsidR="00ED7CB0" w:rsidRPr="00DC4965" w:rsidRDefault="00ED7CB0" w:rsidP="000F6FD0">
            <w:pPr>
              <w:rPr>
                <w:b/>
                <w:bCs/>
              </w:rPr>
            </w:pPr>
          </w:p>
          <w:p w14:paraId="09968916" w14:textId="77777777" w:rsidR="00ED7CB0" w:rsidRPr="00AA12CE" w:rsidRDefault="00ED7CB0" w:rsidP="000F6FD0">
            <w:pPr>
              <w:rPr>
                <w:i/>
                <w:iCs/>
              </w:rPr>
            </w:pPr>
            <w:r w:rsidRPr="00AA12CE">
              <w:rPr>
                <w:i/>
                <w:iCs/>
              </w:rPr>
              <w:t xml:space="preserve">Action:  If the %R is not calculated correctly, verify the other %R calculations and/or contact the lab for re-submittal. If the re-calculated %R values fall within the QC limits, the validator should use </w:t>
            </w:r>
            <w:r w:rsidRPr="00AA12CE">
              <w:rPr>
                <w:i/>
                <w:iCs/>
              </w:rPr>
              <w:lastRenderedPageBreak/>
              <w:t>professional judgment to determine if the lab should be contacted for re-submittal or if the data should be flagged.</w:t>
            </w:r>
          </w:p>
        </w:tc>
        <w:tc>
          <w:tcPr>
            <w:tcW w:w="4675" w:type="dxa"/>
          </w:tcPr>
          <w:p w14:paraId="6F15B448" w14:textId="77777777" w:rsidR="00ED7CB0" w:rsidRPr="00DC4965" w:rsidRDefault="00ED7CB0" w:rsidP="000F6FD0">
            <w:pPr>
              <w:rPr>
                <w:b/>
                <w:bCs/>
              </w:rPr>
            </w:pPr>
            <w:r>
              <w:rPr>
                <w:b/>
                <w:bCs/>
              </w:rPr>
              <w:lastRenderedPageBreak/>
              <w:t>Show results of verified %R calculation:</w:t>
            </w:r>
          </w:p>
        </w:tc>
      </w:tr>
    </w:tbl>
    <w:p w14:paraId="02170EDD" w14:textId="77777777" w:rsidR="00ED7CB0" w:rsidRDefault="00ED7CB0" w:rsidP="00ED7CB0">
      <w:pPr>
        <w:rPr>
          <w:b/>
          <w:bCs/>
        </w:rPr>
      </w:pPr>
    </w:p>
    <w:tbl>
      <w:tblPr>
        <w:tblStyle w:val="TableGrid"/>
        <w:tblW w:w="0" w:type="auto"/>
        <w:tblLook w:val="04A0" w:firstRow="1" w:lastRow="0" w:firstColumn="1" w:lastColumn="0" w:noHBand="0" w:noVBand="1"/>
      </w:tblPr>
      <w:tblGrid>
        <w:gridCol w:w="3116"/>
        <w:gridCol w:w="3117"/>
        <w:gridCol w:w="3117"/>
      </w:tblGrid>
      <w:tr w:rsidR="00ED7CB0" w:rsidRPr="007E056D" w14:paraId="62FD18BF" w14:textId="77777777" w:rsidTr="27932C22">
        <w:trPr>
          <w:trHeight w:val="145"/>
          <w:tblHeader/>
        </w:trPr>
        <w:tc>
          <w:tcPr>
            <w:tcW w:w="9350" w:type="dxa"/>
            <w:gridSpan w:val="3"/>
            <w:shd w:val="clear" w:color="auto" w:fill="D9D9D9" w:themeFill="background1" w:themeFillShade="D9"/>
            <w:vAlign w:val="center"/>
          </w:tcPr>
          <w:p w14:paraId="49A1E5E3" w14:textId="383CF004" w:rsidR="00ED7CB0" w:rsidRPr="00FB3B3F" w:rsidRDefault="191B79EA" w:rsidP="27932C22">
            <w:pPr>
              <w:pStyle w:val="Default"/>
              <w:jc w:val="center"/>
              <w:rPr>
                <w:rFonts w:asciiTheme="minorHAnsi" w:hAnsiTheme="minorHAnsi" w:cstheme="minorBidi"/>
                <w:b/>
                <w:bCs/>
                <w:sz w:val="22"/>
                <w:szCs w:val="22"/>
              </w:rPr>
            </w:pPr>
            <w:bookmarkStart w:id="2" w:name="_Hlk106005119"/>
            <w:bookmarkStart w:id="3" w:name="_Hlk106009026"/>
            <w:r w:rsidRPr="27932C22">
              <w:rPr>
                <w:rFonts w:asciiTheme="minorHAnsi" w:hAnsiTheme="minorHAnsi" w:cstheme="minorBidi"/>
                <w:b/>
                <w:bCs/>
                <w:sz w:val="22"/>
                <w:szCs w:val="22"/>
              </w:rPr>
              <w:t xml:space="preserve">Table 2-2: </w:t>
            </w:r>
            <w:r w:rsidR="00ED7CB0" w:rsidRPr="27932C22">
              <w:rPr>
                <w:rFonts w:asciiTheme="minorHAnsi" w:hAnsiTheme="minorHAnsi" w:cstheme="minorBidi"/>
                <w:b/>
                <w:bCs/>
                <w:sz w:val="22"/>
                <w:szCs w:val="22"/>
              </w:rPr>
              <w:t>LCS Actions for VOC Analyses</w:t>
            </w:r>
            <w:bookmarkEnd w:id="2"/>
          </w:p>
        </w:tc>
      </w:tr>
      <w:tr w:rsidR="00ED7CB0" w:rsidRPr="007E056D" w14:paraId="1E1EBDA4" w14:textId="77777777" w:rsidTr="27932C22">
        <w:trPr>
          <w:trHeight w:val="145"/>
          <w:tblHeader/>
        </w:trPr>
        <w:tc>
          <w:tcPr>
            <w:tcW w:w="9350" w:type="dxa"/>
            <w:gridSpan w:val="3"/>
            <w:shd w:val="clear" w:color="auto" w:fill="D9D9D9" w:themeFill="background1" w:themeFillShade="D9"/>
            <w:vAlign w:val="center"/>
          </w:tcPr>
          <w:p w14:paraId="22AB3BB8" w14:textId="77777777" w:rsidR="00ED7CB0" w:rsidRPr="007E056D" w:rsidRDefault="00ED7CB0" w:rsidP="000F6FD0">
            <w:pPr>
              <w:pStyle w:val="Default"/>
              <w:jc w:val="center"/>
              <w:rPr>
                <w:rFonts w:asciiTheme="minorHAnsi" w:hAnsiTheme="minorHAnsi" w:cstheme="minorHAnsi"/>
                <w:sz w:val="22"/>
                <w:szCs w:val="22"/>
              </w:rPr>
            </w:pPr>
            <w:r w:rsidRPr="007E056D">
              <w:rPr>
                <w:rFonts w:asciiTheme="minorHAnsi" w:hAnsiTheme="minorHAnsi" w:cstheme="minorHAnsi"/>
                <w:sz w:val="22"/>
                <w:szCs w:val="22"/>
              </w:rPr>
              <w:t>Qualification</w:t>
            </w:r>
          </w:p>
        </w:tc>
      </w:tr>
      <w:tr w:rsidR="00ED7CB0" w:rsidRPr="00D45C7A" w14:paraId="7557B699" w14:textId="77777777" w:rsidTr="27932C22">
        <w:trPr>
          <w:trHeight w:val="220"/>
        </w:trPr>
        <w:tc>
          <w:tcPr>
            <w:tcW w:w="3116" w:type="dxa"/>
          </w:tcPr>
          <w:p w14:paraId="1C5DEE1C" w14:textId="77777777" w:rsidR="00ED7CB0" w:rsidRPr="00D45C7A" w:rsidRDefault="00ED7CB0" w:rsidP="000F6FD0">
            <w:pPr>
              <w:jc w:val="center"/>
            </w:pPr>
            <w:r>
              <w:t>LCS Result</w:t>
            </w:r>
          </w:p>
        </w:tc>
        <w:tc>
          <w:tcPr>
            <w:tcW w:w="3117" w:type="dxa"/>
          </w:tcPr>
          <w:p w14:paraId="5A845E1E" w14:textId="77777777" w:rsidR="00ED7CB0" w:rsidRPr="00D45C7A" w:rsidRDefault="00ED7CB0" w:rsidP="000F6FD0">
            <w:pPr>
              <w:jc w:val="center"/>
            </w:pPr>
            <w:r>
              <w:t xml:space="preserve">Sample Result </w:t>
            </w:r>
          </w:p>
        </w:tc>
        <w:tc>
          <w:tcPr>
            <w:tcW w:w="3117" w:type="dxa"/>
          </w:tcPr>
          <w:p w14:paraId="231B9CB6" w14:textId="77777777" w:rsidR="00ED7CB0" w:rsidRPr="00D45C7A" w:rsidRDefault="00ED7CB0" w:rsidP="000F6FD0">
            <w:pPr>
              <w:jc w:val="center"/>
            </w:pPr>
            <w:r>
              <w:t>Action</w:t>
            </w:r>
          </w:p>
        </w:tc>
      </w:tr>
      <w:tr w:rsidR="00ED7CB0" w14:paraId="3E680A72" w14:textId="77777777" w:rsidTr="27932C22">
        <w:trPr>
          <w:trHeight w:val="215"/>
        </w:trPr>
        <w:tc>
          <w:tcPr>
            <w:tcW w:w="3116" w:type="dxa"/>
            <w:vAlign w:val="center"/>
          </w:tcPr>
          <w:p w14:paraId="41050C89" w14:textId="77777777" w:rsidR="00ED7CB0" w:rsidRDefault="00ED7CB0" w:rsidP="000F6FD0">
            <w:pPr>
              <w:jc w:val="center"/>
            </w:pPr>
            <w:r>
              <w:rPr>
                <w:rFonts w:cstheme="minorHAnsi"/>
              </w:rPr>
              <w:t>&gt;</w:t>
            </w:r>
            <w:r>
              <w:t xml:space="preserve"> Upper acceptance limit</w:t>
            </w:r>
          </w:p>
        </w:tc>
        <w:tc>
          <w:tcPr>
            <w:tcW w:w="3117" w:type="dxa"/>
          </w:tcPr>
          <w:p w14:paraId="79BEAE78" w14:textId="77777777" w:rsidR="00ED7CB0" w:rsidRDefault="00ED7CB0" w:rsidP="000F6FD0">
            <w:pPr>
              <w:jc w:val="center"/>
            </w:pPr>
            <w:r>
              <w:t>Detection</w:t>
            </w:r>
          </w:p>
        </w:tc>
        <w:tc>
          <w:tcPr>
            <w:tcW w:w="3117" w:type="dxa"/>
            <w:vAlign w:val="center"/>
          </w:tcPr>
          <w:p w14:paraId="23383578" w14:textId="77777777" w:rsidR="00ED7CB0" w:rsidRDefault="00ED7CB0" w:rsidP="000F6FD0">
            <w:pPr>
              <w:jc w:val="center"/>
            </w:pPr>
            <w:r>
              <w:t>J+</w:t>
            </w:r>
          </w:p>
        </w:tc>
      </w:tr>
      <w:tr w:rsidR="00ED7CB0" w:rsidRPr="00D45C7A" w14:paraId="3D2EAD48" w14:textId="77777777" w:rsidTr="27932C22">
        <w:trPr>
          <w:trHeight w:val="215"/>
        </w:trPr>
        <w:tc>
          <w:tcPr>
            <w:tcW w:w="3116" w:type="dxa"/>
            <w:vAlign w:val="center"/>
          </w:tcPr>
          <w:p w14:paraId="386586B0" w14:textId="77777777" w:rsidR="00ED7CB0" w:rsidRPr="00D45C7A" w:rsidRDefault="00ED7CB0" w:rsidP="000F6FD0">
            <w:pPr>
              <w:jc w:val="center"/>
            </w:pPr>
            <w:r>
              <w:t>&lt; Lower acceptance limit</w:t>
            </w:r>
          </w:p>
        </w:tc>
        <w:tc>
          <w:tcPr>
            <w:tcW w:w="3117" w:type="dxa"/>
          </w:tcPr>
          <w:p w14:paraId="29ECEE86" w14:textId="77777777" w:rsidR="00ED7CB0" w:rsidRPr="00D45C7A" w:rsidRDefault="00ED7CB0" w:rsidP="000F6FD0">
            <w:pPr>
              <w:jc w:val="center"/>
            </w:pPr>
            <w:r>
              <w:t>Detection</w:t>
            </w:r>
          </w:p>
        </w:tc>
        <w:tc>
          <w:tcPr>
            <w:tcW w:w="3117" w:type="dxa"/>
            <w:vAlign w:val="center"/>
          </w:tcPr>
          <w:p w14:paraId="01874354" w14:textId="77777777" w:rsidR="00ED7CB0" w:rsidRPr="00D45C7A" w:rsidRDefault="00ED7CB0" w:rsidP="000F6FD0">
            <w:pPr>
              <w:jc w:val="center"/>
            </w:pPr>
            <w:r>
              <w:t>J-</w:t>
            </w:r>
          </w:p>
        </w:tc>
      </w:tr>
      <w:tr w:rsidR="00ED7CB0" w:rsidRPr="00D45C7A" w14:paraId="6C0B31D9" w14:textId="77777777" w:rsidTr="27932C22">
        <w:trPr>
          <w:trHeight w:val="215"/>
        </w:trPr>
        <w:tc>
          <w:tcPr>
            <w:tcW w:w="3116" w:type="dxa"/>
            <w:vAlign w:val="center"/>
          </w:tcPr>
          <w:p w14:paraId="42BA6CBD" w14:textId="77777777" w:rsidR="00ED7CB0" w:rsidRPr="00D45C7A" w:rsidRDefault="00ED7CB0" w:rsidP="000F6FD0">
            <w:pPr>
              <w:jc w:val="center"/>
            </w:pPr>
            <w:r>
              <w:t>&lt; Lower acceptance limit</w:t>
            </w:r>
          </w:p>
        </w:tc>
        <w:tc>
          <w:tcPr>
            <w:tcW w:w="3117" w:type="dxa"/>
          </w:tcPr>
          <w:p w14:paraId="04EA5BD7" w14:textId="77777777" w:rsidR="00ED7CB0" w:rsidRPr="00D45C7A" w:rsidRDefault="00ED7CB0" w:rsidP="000F6FD0">
            <w:pPr>
              <w:jc w:val="center"/>
            </w:pPr>
            <w:r>
              <w:t>Non-detect</w:t>
            </w:r>
          </w:p>
        </w:tc>
        <w:tc>
          <w:tcPr>
            <w:tcW w:w="3117" w:type="dxa"/>
            <w:vAlign w:val="center"/>
          </w:tcPr>
          <w:p w14:paraId="2DD1FE08" w14:textId="77777777" w:rsidR="00ED7CB0" w:rsidRPr="00D45C7A" w:rsidRDefault="00ED7CB0" w:rsidP="000F6FD0">
            <w:pPr>
              <w:jc w:val="center"/>
            </w:pPr>
            <w:r>
              <w:t>R</w:t>
            </w:r>
          </w:p>
        </w:tc>
      </w:tr>
      <w:tr w:rsidR="00ED7CB0" w:rsidRPr="00D45C7A" w14:paraId="13B2CC89" w14:textId="77777777" w:rsidTr="27932C22">
        <w:trPr>
          <w:trHeight w:val="215"/>
        </w:trPr>
        <w:tc>
          <w:tcPr>
            <w:tcW w:w="3116" w:type="dxa"/>
          </w:tcPr>
          <w:p w14:paraId="048453D6" w14:textId="77777777" w:rsidR="00ED7CB0" w:rsidRPr="00D45C7A" w:rsidRDefault="00ED7CB0" w:rsidP="000F6FD0">
            <w:pPr>
              <w:jc w:val="center"/>
            </w:pPr>
            <w:r>
              <w:rPr>
                <w:rFonts w:cstheme="minorHAnsi"/>
              </w:rPr>
              <w:t>≥</w:t>
            </w:r>
            <w:r>
              <w:t xml:space="preserve"> Half target compounds not within recovery criteria</w:t>
            </w:r>
          </w:p>
        </w:tc>
        <w:tc>
          <w:tcPr>
            <w:tcW w:w="3117" w:type="dxa"/>
          </w:tcPr>
          <w:p w14:paraId="6390F1E9" w14:textId="77777777" w:rsidR="00ED7CB0" w:rsidRPr="00D45C7A" w:rsidRDefault="00ED7CB0" w:rsidP="000F6FD0">
            <w:pPr>
              <w:jc w:val="center"/>
            </w:pPr>
            <w:r>
              <w:t>All detections</w:t>
            </w:r>
          </w:p>
        </w:tc>
        <w:tc>
          <w:tcPr>
            <w:tcW w:w="3117" w:type="dxa"/>
          </w:tcPr>
          <w:p w14:paraId="4A9D6830" w14:textId="77777777" w:rsidR="00ED7CB0" w:rsidRPr="00D45C7A" w:rsidRDefault="00ED7CB0" w:rsidP="000F6FD0">
            <w:pPr>
              <w:jc w:val="center"/>
            </w:pPr>
            <w:r>
              <w:t>J</w:t>
            </w:r>
          </w:p>
        </w:tc>
      </w:tr>
      <w:tr w:rsidR="00ED7CB0" w:rsidRPr="00D45C7A" w14:paraId="0828A575" w14:textId="77777777" w:rsidTr="27932C22">
        <w:trPr>
          <w:trHeight w:val="215"/>
        </w:trPr>
        <w:tc>
          <w:tcPr>
            <w:tcW w:w="3116" w:type="dxa"/>
          </w:tcPr>
          <w:p w14:paraId="4D5D681B" w14:textId="77777777" w:rsidR="00ED7CB0" w:rsidRPr="00D45C7A" w:rsidRDefault="00ED7CB0" w:rsidP="000F6FD0">
            <w:pPr>
              <w:jc w:val="center"/>
            </w:pPr>
            <w:r>
              <w:rPr>
                <w:rFonts w:cstheme="minorHAnsi"/>
              </w:rPr>
              <w:t>≥</w:t>
            </w:r>
            <w:r>
              <w:t xml:space="preserve"> Half target compounds not within recovery criteria</w:t>
            </w:r>
          </w:p>
        </w:tc>
        <w:tc>
          <w:tcPr>
            <w:tcW w:w="3117" w:type="dxa"/>
          </w:tcPr>
          <w:p w14:paraId="136FA077" w14:textId="77777777" w:rsidR="00ED7CB0" w:rsidRPr="00D45C7A" w:rsidRDefault="00ED7CB0" w:rsidP="000F6FD0">
            <w:pPr>
              <w:jc w:val="center"/>
            </w:pPr>
            <w:r>
              <w:t>All non-detects</w:t>
            </w:r>
          </w:p>
        </w:tc>
        <w:tc>
          <w:tcPr>
            <w:tcW w:w="3117" w:type="dxa"/>
            <w:vAlign w:val="center"/>
          </w:tcPr>
          <w:p w14:paraId="3C6BA1BD" w14:textId="77777777" w:rsidR="00ED7CB0" w:rsidRPr="00D45C7A" w:rsidRDefault="00ED7CB0" w:rsidP="000F6FD0">
            <w:pPr>
              <w:jc w:val="center"/>
            </w:pPr>
            <w:r>
              <w:t>R</w:t>
            </w:r>
          </w:p>
        </w:tc>
      </w:tr>
      <w:bookmarkEnd w:id="3"/>
    </w:tbl>
    <w:p w14:paraId="1A602C28" w14:textId="77777777" w:rsidR="00ED7CB0" w:rsidRPr="00DC4965" w:rsidRDefault="00ED7CB0" w:rsidP="00ED7CB0">
      <w:pPr>
        <w:rPr>
          <w:b/>
          <w:bCs/>
        </w:rPr>
      </w:pPr>
    </w:p>
    <w:tbl>
      <w:tblPr>
        <w:tblStyle w:val="TableGrid"/>
        <w:tblW w:w="0" w:type="auto"/>
        <w:tblLook w:val="04A0" w:firstRow="1" w:lastRow="0" w:firstColumn="1" w:lastColumn="0" w:noHBand="0" w:noVBand="1"/>
      </w:tblPr>
      <w:tblGrid>
        <w:gridCol w:w="4675"/>
        <w:gridCol w:w="4675"/>
      </w:tblGrid>
      <w:tr w:rsidR="00ED7CB0" w:rsidRPr="00DC4965" w14:paraId="45CBA027" w14:textId="77777777" w:rsidTr="03353AD0">
        <w:trPr>
          <w:tblHeader/>
        </w:trPr>
        <w:tc>
          <w:tcPr>
            <w:tcW w:w="9350" w:type="dxa"/>
            <w:gridSpan w:val="2"/>
            <w:shd w:val="clear" w:color="auto" w:fill="D9D9D9" w:themeFill="background1" w:themeFillShade="D9"/>
          </w:tcPr>
          <w:p w14:paraId="768ACC46" w14:textId="77777777" w:rsidR="00ED7CB0" w:rsidRPr="00DC4965" w:rsidRDefault="00ED7CB0" w:rsidP="000F6FD0">
            <w:pPr>
              <w:rPr>
                <w:b/>
                <w:bCs/>
              </w:rPr>
            </w:pPr>
            <w:r w:rsidRPr="00DC4965">
              <w:rPr>
                <w:b/>
                <w:bCs/>
              </w:rPr>
              <w:t xml:space="preserve">2.3 </w:t>
            </w:r>
            <w:r>
              <w:rPr>
                <w:b/>
                <w:bCs/>
              </w:rPr>
              <w:t>Volatile Data</w:t>
            </w:r>
            <w:r w:rsidRPr="00DC4965">
              <w:rPr>
                <w:b/>
                <w:bCs/>
              </w:rPr>
              <w:t xml:space="preserve"> Review - Matrix Spike/Matrix Spike Duplicates</w:t>
            </w:r>
          </w:p>
        </w:tc>
      </w:tr>
      <w:tr w:rsidR="00ED7CB0" w:rsidRPr="00DC4965" w14:paraId="772FE12F" w14:textId="77777777" w:rsidTr="03353AD0">
        <w:tc>
          <w:tcPr>
            <w:tcW w:w="9350" w:type="dxa"/>
            <w:gridSpan w:val="2"/>
            <w:shd w:val="clear" w:color="auto" w:fill="D9D9D9" w:themeFill="background1" w:themeFillShade="D9"/>
          </w:tcPr>
          <w:p w14:paraId="36EE834D" w14:textId="6FA77133" w:rsidR="00ED7CB0" w:rsidRPr="00DC4965" w:rsidRDefault="00ED7CB0" w:rsidP="000F6FD0">
            <w:pPr>
              <w:rPr>
                <w:b/>
                <w:bCs/>
              </w:rPr>
            </w:pPr>
            <w:r w:rsidRPr="03353AD0">
              <w:rPr>
                <w:b/>
                <w:bCs/>
              </w:rPr>
              <w:t>Matrix spike and matrix spike duplicates are performed to assess method precision for VOC analyses.  Matrix spikes and duplicates are required for every batch of samples (approximately every 20 samples).  The validator should be aware that the MS/MSD are batch specific QA/QC samples, not sample specific.  For example, the MS/MSD information may be analyzed with any sample in the batch, but not necessarily a sample being validated.  Because of this, matrix spike and matrix spike duplicate data alone usually are not used to qualify results, but the information is used with other QA/QC data to qualify data.</w:t>
            </w:r>
          </w:p>
        </w:tc>
      </w:tr>
      <w:tr w:rsidR="00ED7CB0" w:rsidRPr="00DC4965" w14:paraId="7B665DEC" w14:textId="77777777" w:rsidTr="03353AD0">
        <w:tc>
          <w:tcPr>
            <w:tcW w:w="4675" w:type="dxa"/>
            <w:shd w:val="clear" w:color="auto" w:fill="D9D9D9" w:themeFill="background1" w:themeFillShade="D9"/>
          </w:tcPr>
          <w:p w14:paraId="02DEBB78" w14:textId="77777777" w:rsidR="00ED7CB0" w:rsidRPr="0069370F" w:rsidRDefault="00ED7CB0" w:rsidP="000F6FD0">
            <w:r w:rsidRPr="0069370F">
              <w:t>2.3.1</w:t>
            </w:r>
            <w:r w:rsidRPr="0069370F">
              <w:tab/>
              <w:t>Is matrix spike/matrix spike duplicate recovery data present?</w:t>
            </w:r>
          </w:p>
          <w:p w14:paraId="35CA9395" w14:textId="77777777" w:rsidR="00ED7CB0" w:rsidRDefault="00ED7CB0" w:rsidP="000F6FD0"/>
          <w:p w14:paraId="378C7C52" w14:textId="77777777" w:rsidR="00ED7CB0" w:rsidRDefault="00ED7CB0" w:rsidP="000F6FD0">
            <w:r>
              <w:t>Note: MS/MSD recovery data is more important for aqueous samples, so it is recommended that projects include review of MS/MSD recovery data for water samples in project DQOs.</w:t>
            </w:r>
          </w:p>
          <w:p w14:paraId="238A2152" w14:textId="77777777" w:rsidR="00ED7CB0" w:rsidRPr="0069370F" w:rsidRDefault="00ED7CB0" w:rsidP="000F6FD0"/>
          <w:p w14:paraId="052CFDDE" w14:textId="77777777" w:rsidR="00ED7CB0" w:rsidRPr="0069370F" w:rsidRDefault="00ED7CB0" w:rsidP="000F6FD0">
            <w:pPr>
              <w:rPr>
                <w:i/>
                <w:iCs/>
              </w:rPr>
            </w:pPr>
            <w:r w:rsidRPr="0069370F">
              <w:rPr>
                <w:i/>
                <w:iCs/>
              </w:rPr>
              <w:t xml:space="preserve">Action: If the matrix spike/spike duplicate data are </w:t>
            </w:r>
            <w:r>
              <w:rPr>
                <w:i/>
                <w:iCs/>
              </w:rPr>
              <w:t xml:space="preserve">required by the project-specific QAPP or DQOs but </w:t>
            </w:r>
            <w:r w:rsidRPr="0069370F">
              <w:rPr>
                <w:i/>
                <w:iCs/>
              </w:rPr>
              <w:t>missing, the laboratory should be contacted for a re-submittal.</w:t>
            </w:r>
          </w:p>
        </w:tc>
        <w:tc>
          <w:tcPr>
            <w:tcW w:w="4675" w:type="dxa"/>
          </w:tcPr>
          <w:p w14:paraId="2A13CE2B" w14:textId="77777777" w:rsidR="00ED7CB0" w:rsidRDefault="00ED7CB0" w:rsidP="000F6FD0">
            <w:pPr>
              <w:rPr>
                <w:b/>
                <w:bCs/>
              </w:rPr>
            </w:pPr>
            <w:r>
              <w:rPr>
                <w:b/>
                <w:bCs/>
              </w:rPr>
              <w:t>Indicate yes or no:</w:t>
            </w:r>
          </w:p>
          <w:p w14:paraId="54D91B04" w14:textId="77777777" w:rsidR="00ED7CB0" w:rsidRPr="00995725" w:rsidRDefault="00ED7CB0" w:rsidP="000F6FD0"/>
          <w:p w14:paraId="27EE48AA" w14:textId="77777777" w:rsidR="00ED7CB0" w:rsidRPr="00DC4965" w:rsidRDefault="00ED7CB0" w:rsidP="000F6FD0">
            <w:pPr>
              <w:rPr>
                <w:b/>
                <w:bCs/>
              </w:rPr>
            </w:pPr>
          </w:p>
        </w:tc>
      </w:tr>
      <w:tr w:rsidR="00ED7CB0" w:rsidRPr="00DC4965" w14:paraId="4C59540E" w14:textId="77777777" w:rsidTr="03353AD0">
        <w:tc>
          <w:tcPr>
            <w:tcW w:w="4675" w:type="dxa"/>
            <w:shd w:val="clear" w:color="auto" w:fill="D9D9D9" w:themeFill="background1" w:themeFillShade="D9"/>
          </w:tcPr>
          <w:p w14:paraId="212E2178" w14:textId="77777777" w:rsidR="00ED7CB0" w:rsidRDefault="00ED7CB0" w:rsidP="000F6FD0">
            <w:r w:rsidRPr="0069370F">
              <w:t>2.3.2</w:t>
            </w:r>
            <w:r w:rsidRPr="0069370F">
              <w:tab/>
              <w:t>How many VOC spike recoveries are outside the QC limits?</w:t>
            </w:r>
          </w:p>
          <w:p w14:paraId="01C6C074" w14:textId="77777777" w:rsidR="00ED7CB0" w:rsidRDefault="00ED7CB0" w:rsidP="000F6FD0"/>
          <w:p w14:paraId="40D1DD09" w14:textId="77777777" w:rsidR="00ED7CB0" w:rsidRPr="0069370F" w:rsidRDefault="00ED7CB0" w:rsidP="000F6FD0"/>
        </w:tc>
        <w:tc>
          <w:tcPr>
            <w:tcW w:w="4675" w:type="dxa"/>
          </w:tcPr>
          <w:p w14:paraId="4E197345" w14:textId="77777777" w:rsidR="00ED7CB0" w:rsidRPr="00DC4965" w:rsidRDefault="00ED7CB0" w:rsidP="000F6FD0">
            <w:pPr>
              <w:rPr>
                <w:b/>
                <w:bCs/>
              </w:rPr>
            </w:pPr>
            <w:r w:rsidRPr="00DC4965">
              <w:rPr>
                <w:b/>
                <w:bCs/>
              </w:rPr>
              <w:t>Record the spike recovery and control limits:</w:t>
            </w:r>
          </w:p>
          <w:p w14:paraId="4167F61B" w14:textId="77777777" w:rsidR="00ED7CB0" w:rsidRPr="00DC4965" w:rsidRDefault="00ED7CB0" w:rsidP="000F6FD0">
            <w:pPr>
              <w:rPr>
                <w:b/>
                <w:bCs/>
              </w:rPr>
            </w:pPr>
          </w:p>
        </w:tc>
      </w:tr>
      <w:tr w:rsidR="00ED7CB0" w:rsidRPr="00DC4965" w14:paraId="17FAC276" w14:textId="77777777" w:rsidTr="03353AD0">
        <w:tc>
          <w:tcPr>
            <w:tcW w:w="4675" w:type="dxa"/>
            <w:shd w:val="clear" w:color="auto" w:fill="D9D9D9" w:themeFill="background1" w:themeFillShade="D9"/>
          </w:tcPr>
          <w:p w14:paraId="19FA8CA8" w14:textId="77777777" w:rsidR="00ED7CB0" w:rsidRDefault="00ED7CB0" w:rsidP="000F6FD0">
            <w:r>
              <w:t xml:space="preserve">2.3.3 </w:t>
            </w:r>
            <w:r w:rsidRPr="00AA12CE">
              <w:t>Verify the calculations for at least one %R.</w:t>
            </w:r>
          </w:p>
          <w:p w14:paraId="3BF2CE44" w14:textId="77777777" w:rsidR="00ED7CB0" w:rsidRDefault="00ED7CB0" w:rsidP="000F6FD0"/>
          <w:p w14:paraId="6CDFDA3F" w14:textId="77777777" w:rsidR="00ED7CB0" w:rsidRDefault="00ED7CB0" w:rsidP="000F6FD0">
            <w:r>
              <w:t>Matrix Spike Recovery</w:t>
            </w:r>
          </w:p>
          <w:p w14:paraId="62C49108" w14:textId="77777777" w:rsidR="00ED7CB0" w:rsidRDefault="00ED7CB0" w:rsidP="000F6FD0"/>
          <w:p w14:paraId="29FCBA59" w14:textId="77777777" w:rsidR="00ED7CB0" w:rsidRPr="00FE52BE" w:rsidRDefault="00ED7CB0" w:rsidP="000F6FD0">
            <w:pPr>
              <w:jc w:val="center"/>
              <w:rPr>
                <w:rFonts w:ascii="Cambria Math" w:eastAsiaTheme="minorEastAsia" w:hAnsi="Cambria Math"/>
              </w:rPr>
            </w:pPr>
            <w:r w:rsidRPr="00FE52BE">
              <w:rPr>
                <w:rFonts w:ascii="Cambria Math" w:eastAsiaTheme="minorEastAsia" w:hAnsi="Cambria Math"/>
              </w:rPr>
              <w:t>%R=</w:t>
            </w:r>
            <m:oMath>
              <m:f>
                <m:fPr>
                  <m:ctrlPr>
                    <w:rPr>
                      <w:rFonts w:ascii="Cambria Math" w:hAnsi="Cambria Math"/>
                      <w:i/>
                    </w:rPr>
                  </m:ctrlPr>
                </m:fPr>
                <m:num>
                  <m:r>
                    <w:rPr>
                      <w:rFonts w:ascii="Cambria Math" w:hAnsi="Cambria Math"/>
                    </w:rPr>
                    <m:t>SSR-SR</m:t>
                  </m:r>
                </m:num>
                <m:den>
                  <m:r>
                    <w:rPr>
                      <w:rFonts w:ascii="Cambria Math" w:hAnsi="Cambria Math"/>
                    </w:rPr>
                    <m:t>SA</m:t>
                  </m:r>
                </m:den>
              </m:f>
            </m:oMath>
            <w:r w:rsidRPr="00FE52BE">
              <w:rPr>
                <w:rFonts w:ascii="Cambria Math" w:eastAsiaTheme="minorEastAsia" w:hAnsi="Cambria Math"/>
              </w:rPr>
              <w:t xml:space="preserve"> x 100</w:t>
            </w:r>
          </w:p>
          <w:p w14:paraId="5F85A506" w14:textId="77777777" w:rsidR="00ED7CB0" w:rsidRDefault="00ED7CB0" w:rsidP="000F6FD0">
            <w:pPr>
              <w:rPr>
                <w:rFonts w:eastAsiaTheme="minorEastAsia"/>
              </w:rPr>
            </w:pPr>
          </w:p>
          <w:p w14:paraId="2518B5F7" w14:textId="77777777" w:rsidR="00ED7CB0" w:rsidRDefault="00ED7CB0" w:rsidP="000F6FD0">
            <w:pPr>
              <w:rPr>
                <w:rFonts w:eastAsiaTheme="minorEastAsia"/>
              </w:rPr>
            </w:pPr>
            <w:r>
              <w:rPr>
                <w:rFonts w:eastAsiaTheme="minorEastAsia"/>
              </w:rPr>
              <w:t xml:space="preserve">Where: </w:t>
            </w:r>
          </w:p>
          <w:p w14:paraId="400995F4" w14:textId="77777777" w:rsidR="00ED7CB0" w:rsidRDefault="00ED7CB0" w:rsidP="000F6FD0">
            <w:pPr>
              <w:ind w:left="720" w:hanging="720"/>
              <w:rPr>
                <w:rFonts w:eastAsiaTheme="minorEastAsia"/>
              </w:rPr>
            </w:pPr>
            <w:r>
              <w:rPr>
                <w:rFonts w:eastAsiaTheme="minorEastAsia"/>
              </w:rPr>
              <w:t>SSR= spiking analyte result in the spiked sample</w:t>
            </w:r>
          </w:p>
          <w:p w14:paraId="4ACA8795" w14:textId="77777777" w:rsidR="00ED7CB0" w:rsidRDefault="00ED7CB0" w:rsidP="000F6FD0">
            <w:pPr>
              <w:ind w:left="720" w:hanging="720"/>
            </w:pPr>
            <w:r>
              <w:t>SR= Result of the same analyte in the original sample</w:t>
            </w:r>
          </w:p>
          <w:p w14:paraId="56C04614" w14:textId="77777777" w:rsidR="00ED7CB0" w:rsidRPr="0069370F" w:rsidRDefault="00ED7CB0" w:rsidP="000F6FD0">
            <w:r>
              <w:t>SA= spike added in the spiked sample</w:t>
            </w:r>
          </w:p>
        </w:tc>
        <w:tc>
          <w:tcPr>
            <w:tcW w:w="4675" w:type="dxa"/>
          </w:tcPr>
          <w:p w14:paraId="294D5D23" w14:textId="77777777" w:rsidR="00ED7CB0" w:rsidRPr="00DC4965" w:rsidRDefault="00ED7CB0" w:rsidP="000F6FD0">
            <w:pPr>
              <w:rPr>
                <w:b/>
                <w:bCs/>
              </w:rPr>
            </w:pPr>
            <w:r>
              <w:rPr>
                <w:b/>
                <w:bCs/>
              </w:rPr>
              <w:lastRenderedPageBreak/>
              <w:t>Show results of verified %R calculation:</w:t>
            </w:r>
          </w:p>
        </w:tc>
      </w:tr>
      <w:tr w:rsidR="00ED7CB0" w:rsidRPr="00DC4965" w14:paraId="4D00974B" w14:textId="77777777" w:rsidTr="03353AD0">
        <w:tc>
          <w:tcPr>
            <w:tcW w:w="4675" w:type="dxa"/>
            <w:shd w:val="clear" w:color="auto" w:fill="D9D9D9" w:themeFill="background1" w:themeFillShade="D9"/>
          </w:tcPr>
          <w:p w14:paraId="0A02EBEE" w14:textId="77777777" w:rsidR="00ED7CB0" w:rsidRDefault="00ED7CB0" w:rsidP="000F6FD0">
            <w:r w:rsidRPr="0069370F">
              <w:t>2.3.</w:t>
            </w:r>
            <w:r>
              <w:t>4</w:t>
            </w:r>
            <w:r w:rsidRPr="0069370F">
              <w:tab/>
              <w:t xml:space="preserve">How many </w:t>
            </w:r>
            <w:r>
              <w:t>relative percent differences (</w:t>
            </w:r>
            <w:r w:rsidRPr="0069370F">
              <w:t>RPDs</w:t>
            </w:r>
            <w:r>
              <w:t>)</w:t>
            </w:r>
            <w:r w:rsidRPr="0069370F">
              <w:t xml:space="preserve"> for matrix spike and matrix spike duplicate recoveries are outside the QC limits for VOCs</w:t>
            </w:r>
            <w:r>
              <w:t xml:space="preserve"> (</w:t>
            </w:r>
            <w:r>
              <w:rPr>
                <w:rFonts w:cstheme="minorHAnsi"/>
              </w:rPr>
              <w:t>≤</w:t>
            </w:r>
            <w:r>
              <w:t>20%)</w:t>
            </w:r>
            <w:r w:rsidRPr="0069370F">
              <w:t>?</w:t>
            </w:r>
          </w:p>
          <w:p w14:paraId="2D21D2BE" w14:textId="77777777" w:rsidR="00ED7CB0" w:rsidRDefault="00ED7CB0" w:rsidP="000F6FD0"/>
          <w:p w14:paraId="059E8F3B" w14:textId="77777777" w:rsidR="00ED7CB0" w:rsidRPr="0069370F" w:rsidRDefault="00ED7CB0" w:rsidP="000F6FD0">
            <w:pPr>
              <w:rPr>
                <w:b/>
                <w:bCs/>
              </w:rPr>
            </w:pPr>
            <w:r w:rsidRPr="0069370F">
              <w:rPr>
                <w:b/>
                <w:bCs/>
              </w:rPr>
              <w:t>Note:  The MS/MSD results may be used in conjunction with other QC criteria to determine the need for data qualification.  Outliers should be identified.</w:t>
            </w:r>
          </w:p>
        </w:tc>
        <w:tc>
          <w:tcPr>
            <w:tcW w:w="4675" w:type="dxa"/>
          </w:tcPr>
          <w:p w14:paraId="2EE9737F" w14:textId="77777777" w:rsidR="00ED7CB0" w:rsidRPr="00DC4965" w:rsidRDefault="00ED7CB0" w:rsidP="000F6FD0">
            <w:pPr>
              <w:rPr>
                <w:b/>
                <w:bCs/>
              </w:rPr>
            </w:pPr>
            <w:r w:rsidRPr="00DC4965">
              <w:rPr>
                <w:b/>
                <w:bCs/>
              </w:rPr>
              <w:t>Record the recovery data out of criteria and control limits. Review surrogate and LCS data to determine if qualification is necessary:</w:t>
            </w:r>
          </w:p>
        </w:tc>
      </w:tr>
      <w:tr w:rsidR="00ED7CB0" w:rsidRPr="00DC4965" w14:paraId="7967DA13" w14:textId="77777777" w:rsidTr="03353AD0">
        <w:tc>
          <w:tcPr>
            <w:tcW w:w="4675" w:type="dxa"/>
            <w:shd w:val="clear" w:color="auto" w:fill="D9D9D9" w:themeFill="background1" w:themeFillShade="D9"/>
          </w:tcPr>
          <w:p w14:paraId="2AB8EF04" w14:textId="77777777" w:rsidR="00ED7CB0" w:rsidRDefault="00ED7CB0" w:rsidP="000F6FD0">
            <w:r>
              <w:t xml:space="preserve">2.3.5 </w:t>
            </w:r>
            <w:r w:rsidRPr="00AA12CE">
              <w:t xml:space="preserve">Verify the calculations for at least one </w:t>
            </w:r>
            <w:r>
              <w:t>RPD</w:t>
            </w:r>
            <w:r w:rsidRPr="00AA12CE">
              <w:t>.</w:t>
            </w:r>
          </w:p>
          <w:p w14:paraId="13B62CF8" w14:textId="77777777" w:rsidR="00ED7CB0" w:rsidRDefault="00ED7CB0" w:rsidP="000F6FD0"/>
          <w:p w14:paraId="4EE7E8A1" w14:textId="77777777" w:rsidR="00ED7CB0" w:rsidRDefault="00ED7CB0" w:rsidP="000F6FD0">
            <w:r>
              <w:t>RPD</w:t>
            </w:r>
          </w:p>
          <w:p w14:paraId="31D44DB8" w14:textId="77777777" w:rsidR="00ED7CB0" w:rsidRPr="00FB6D7E" w:rsidRDefault="00ED7CB0" w:rsidP="000F6FD0">
            <w:pPr>
              <w:jc w:val="center"/>
              <w:rPr>
                <w:rFonts w:ascii="Cambria Math" w:eastAsiaTheme="minorEastAsia" w:hAnsi="Cambria Math" w:cstheme="minorHAnsi"/>
              </w:rPr>
            </w:pPr>
            <w:r w:rsidRPr="00FB6D7E">
              <w:rPr>
                <w:rFonts w:ascii="Cambria Math" w:eastAsiaTheme="minorEastAsia" w:hAnsi="Cambria Math" w:cstheme="minorHAnsi"/>
              </w:rPr>
              <w:t>RPD=</w:t>
            </w:r>
            <m:oMath>
              <m:f>
                <m:fPr>
                  <m:ctrlPr>
                    <w:rPr>
                      <w:rFonts w:ascii="Cambria Math" w:hAnsi="Cambria Math" w:cstheme="minorHAnsi"/>
                      <w:i/>
                    </w:rPr>
                  </m:ctrlPr>
                </m:fPr>
                <m:num>
                  <m:d>
                    <m:dPr>
                      <m:begChr m:val="|"/>
                      <m:endChr m:val="|"/>
                      <m:ctrlPr>
                        <w:rPr>
                          <w:rFonts w:ascii="Cambria Math" w:hAnsi="Cambria Math" w:cstheme="minorHAnsi"/>
                          <w:i/>
                        </w:rPr>
                      </m:ctrlPr>
                    </m:dPr>
                    <m:e>
                      <m:r>
                        <w:rPr>
                          <w:rFonts w:ascii="Cambria Math" w:hAnsi="Cambria Math" w:cstheme="minorHAnsi"/>
                        </w:rPr>
                        <m:t>MSR-MSDR</m:t>
                      </m:r>
                    </m:e>
                  </m:d>
                </m:num>
                <m:den>
                  <m:d>
                    <m:dPr>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MSR+MSDR</m:t>
                          </m:r>
                        </m:num>
                        <m:den>
                          <m:r>
                            <w:rPr>
                              <w:rFonts w:ascii="Cambria Math" w:hAnsi="Cambria Math" w:cstheme="minorHAnsi"/>
                            </w:rPr>
                            <m:t>2</m:t>
                          </m:r>
                        </m:den>
                      </m:f>
                    </m:e>
                  </m:d>
                </m:den>
              </m:f>
            </m:oMath>
            <w:r w:rsidRPr="00FB6D7E">
              <w:rPr>
                <w:rFonts w:ascii="Cambria Math" w:eastAsiaTheme="minorEastAsia" w:hAnsi="Cambria Math" w:cstheme="minorHAnsi"/>
              </w:rPr>
              <w:t xml:space="preserve"> x 100</w:t>
            </w:r>
          </w:p>
          <w:p w14:paraId="38B64E88" w14:textId="77777777" w:rsidR="00ED7CB0" w:rsidRDefault="00ED7CB0" w:rsidP="000F6FD0"/>
          <w:p w14:paraId="44EF8435" w14:textId="77777777" w:rsidR="00ED7CB0" w:rsidRPr="0084457D" w:rsidRDefault="00ED7CB0" w:rsidP="000F6FD0">
            <w:r>
              <w:t>Where:</w:t>
            </w:r>
          </w:p>
          <w:p w14:paraId="33AFC610" w14:textId="77777777" w:rsidR="00ED7CB0" w:rsidRDefault="00ED7CB0" w:rsidP="000F6FD0">
            <w:pPr>
              <w:ind w:left="720" w:hanging="720"/>
            </w:pPr>
            <w:r>
              <w:t>MSR= Matrix spike result for the spiking analyte in the MS sample</w:t>
            </w:r>
          </w:p>
          <w:p w14:paraId="794E215C" w14:textId="77777777" w:rsidR="00ED7CB0" w:rsidRPr="0069370F" w:rsidRDefault="00ED7CB0" w:rsidP="000F6FD0">
            <w:r>
              <w:t>MSDR= Matrix spike result for the spiking analyte in the MSD sample</w:t>
            </w:r>
          </w:p>
        </w:tc>
        <w:tc>
          <w:tcPr>
            <w:tcW w:w="4675" w:type="dxa"/>
          </w:tcPr>
          <w:p w14:paraId="4562C68D" w14:textId="77777777" w:rsidR="00ED7CB0" w:rsidRPr="00DC4965" w:rsidRDefault="00ED7CB0" w:rsidP="000F6FD0">
            <w:pPr>
              <w:rPr>
                <w:b/>
                <w:bCs/>
              </w:rPr>
            </w:pPr>
            <w:r>
              <w:rPr>
                <w:b/>
                <w:bCs/>
              </w:rPr>
              <w:t>Show results of verified RPD calculation:</w:t>
            </w:r>
          </w:p>
        </w:tc>
      </w:tr>
    </w:tbl>
    <w:p w14:paraId="2025F65A" w14:textId="77777777" w:rsidR="00ED7CB0" w:rsidRDefault="00ED7CB0" w:rsidP="00ED7CB0"/>
    <w:tbl>
      <w:tblPr>
        <w:tblStyle w:val="TableGrid"/>
        <w:tblW w:w="0" w:type="auto"/>
        <w:tblLook w:val="04A0" w:firstRow="1" w:lastRow="0" w:firstColumn="1" w:lastColumn="0" w:noHBand="0" w:noVBand="1"/>
      </w:tblPr>
      <w:tblGrid>
        <w:gridCol w:w="4675"/>
        <w:gridCol w:w="4675"/>
      </w:tblGrid>
      <w:tr w:rsidR="00ED7CB0" w14:paraId="27E0601A" w14:textId="77777777" w:rsidTr="2BA1A1D3">
        <w:tc>
          <w:tcPr>
            <w:tcW w:w="9350" w:type="dxa"/>
            <w:gridSpan w:val="2"/>
            <w:shd w:val="clear" w:color="auto" w:fill="D9D9D9" w:themeFill="background1" w:themeFillShade="D9"/>
          </w:tcPr>
          <w:p w14:paraId="6B68A074" w14:textId="77777777" w:rsidR="00ED7CB0" w:rsidRPr="00DC4965" w:rsidRDefault="00ED7CB0" w:rsidP="000F6FD0">
            <w:pPr>
              <w:rPr>
                <w:b/>
                <w:bCs/>
              </w:rPr>
            </w:pPr>
            <w:r w:rsidRPr="00DC4965">
              <w:rPr>
                <w:b/>
                <w:bCs/>
              </w:rPr>
              <w:t xml:space="preserve">2.4 </w:t>
            </w:r>
            <w:r>
              <w:rPr>
                <w:b/>
                <w:bCs/>
              </w:rPr>
              <w:t>Volatile Data Review -</w:t>
            </w:r>
            <w:r w:rsidRPr="00DC4965">
              <w:rPr>
                <w:b/>
                <w:bCs/>
              </w:rPr>
              <w:t xml:space="preserve"> Surrogate Recovery</w:t>
            </w:r>
          </w:p>
        </w:tc>
      </w:tr>
      <w:tr w:rsidR="00ED7CB0" w14:paraId="43DE9EA2" w14:textId="77777777" w:rsidTr="2BA1A1D3">
        <w:tc>
          <w:tcPr>
            <w:tcW w:w="9350" w:type="dxa"/>
            <w:gridSpan w:val="2"/>
            <w:shd w:val="clear" w:color="auto" w:fill="D9D9D9" w:themeFill="background1" w:themeFillShade="D9"/>
          </w:tcPr>
          <w:p w14:paraId="65D396E4" w14:textId="77777777" w:rsidR="00ED7CB0" w:rsidRPr="00DC4965" w:rsidRDefault="00ED7CB0" w:rsidP="000F6FD0">
            <w:pPr>
              <w:rPr>
                <w:b/>
                <w:bCs/>
              </w:rPr>
            </w:pPr>
            <w:r w:rsidRPr="00DC4965">
              <w:rPr>
                <w:b/>
                <w:bCs/>
              </w:rPr>
              <w:t>Surrogate compounds are spiked compounds of known composition and concentration that are added to samples and blanks.  Surrogates are compounds that mimic target analytes but are either compounds that are not commonly found in the environment or that have been altered (</w:t>
            </w:r>
            <w:r w:rsidRPr="00F170E4">
              <w:rPr>
                <w:b/>
                <w:i/>
              </w:rPr>
              <w:t>e.g.</w:t>
            </w:r>
            <w:r w:rsidRPr="00DC4965">
              <w:rPr>
                <w:b/>
                <w:bCs/>
              </w:rPr>
              <w:t>, “deuterized”) so that they can be identified as quality QA analytes.  The recovery of surrogate compounds allows an assessment of matrix interference.  VOC surrogate recoveries are also used with other QA/QC data to qualify sample results and to justify laboratory re-analysis.  Specific examples are listed in the data validation guidance document.</w:t>
            </w:r>
            <w:r w:rsidRPr="5E7BF649">
              <w:rPr>
                <w:b/>
                <w:bCs/>
              </w:rPr>
              <w:t xml:space="preserve"> </w:t>
            </w:r>
            <w:r w:rsidRPr="01CE0C51">
              <w:rPr>
                <w:b/>
                <w:bCs/>
              </w:rPr>
              <w:t xml:space="preserve"> </w:t>
            </w:r>
          </w:p>
          <w:p w14:paraId="015093AE" w14:textId="77777777" w:rsidR="00ED7CB0" w:rsidRPr="00DC4965" w:rsidRDefault="00ED7CB0" w:rsidP="000F6FD0">
            <w:pPr>
              <w:rPr>
                <w:b/>
                <w:bCs/>
              </w:rPr>
            </w:pPr>
          </w:p>
          <w:p w14:paraId="0B3E2E71" w14:textId="77777777" w:rsidR="00ED7CB0" w:rsidRDefault="00ED7CB0" w:rsidP="000F6FD0">
            <w:pPr>
              <w:rPr>
                <w:b/>
                <w:bCs/>
              </w:rPr>
            </w:pPr>
            <w:r w:rsidRPr="29A5BC03">
              <w:rPr>
                <w:b/>
                <w:bCs/>
              </w:rPr>
              <w:t>Common VOC surrogates include the following:</w:t>
            </w:r>
          </w:p>
          <w:p w14:paraId="6B884951" w14:textId="77777777" w:rsidR="00ED7CB0" w:rsidRDefault="00ED7CB0" w:rsidP="000F6FD0">
            <w:pPr>
              <w:rPr>
                <w:b/>
                <w:bCs/>
              </w:rPr>
            </w:pPr>
          </w:p>
          <w:p w14:paraId="66718A78" w14:textId="77777777" w:rsidR="00ED7CB0" w:rsidRPr="00DC4965" w:rsidRDefault="00ED7CB0" w:rsidP="000F6FD0">
            <w:pPr>
              <w:rPr>
                <w:b/>
                <w:bCs/>
              </w:rPr>
            </w:pPr>
            <w:r>
              <w:rPr>
                <w:b/>
                <w:bCs/>
                <w:u w:val="single"/>
              </w:rPr>
              <w:t xml:space="preserve">Recommended </w:t>
            </w:r>
            <w:r w:rsidRPr="00DC4965">
              <w:rPr>
                <w:b/>
                <w:bCs/>
                <w:u w:val="single"/>
              </w:rPr>
              <w:t>Surrogate Compound</w:t>
            </w:r>
            <w:r>
              <w:rPr>
                <w:b/>
                <w:bCs/>
                <w:u w:val="single"/>
                <w:vertAlign w:val="superscript"/>
              </w:rPr>
              <w:t>a</w:t>
            </w:r>
            <w:r w:rsidRPr="00DC4965">
              <w:rPr>
                <w:b/>
                <w:bCs/>
              </w:rPr>
              <w:tab/>
            </w:r>
            <w:r w:rsidRPr="00DC4965">
              <w:rPr>
                <w:b/>
                <w:bCs/>
              </w:rPr>
              <w:tab/>
            </w:r>
            <w:r w:rsidRPr="00DC4965">
              <w:rPr>
                <w:b/>
                <w:bCs/>
              </w:rPr>
              <w:tab/>
            </w:r>
            <w:r w:rsidRPr="00DC4965">
              <w:rPr>
                <w:b/>
                <w:bCs/>
                <w:u w:val="single"/>
              </w:rPr>
              <w:t xml:space="preserve"> </w:t>
            </w:r>
          </w:p>
          <w:p w14:paraId="2CD9FE54" w14:textId="77777777" w:rsidR="00ED7CB0" w:rsidRPr="00DC4965" w:rsidRDefault="00ED7CB0" w:rsidP="000F6FD0">
            <w:pPr>
              <w:rPr>
                <w:b/>
                <w:bCs/>
              </w:rPr>
            </w:pPr>
            <w:r w:rsidRPr="00DC4965">
              <w:rPr>
                <w:b/>
                <w:bCs/>
              </w:rPr>
              <w:t xml:space="preserve">4-Bromofluorobenzene </w:t>
            </w:r>
            <w:r w:rsidRPr="00DC4965">
              <w:rPr>
                <w:b/>
                <w:bCs/>
              </w:rPr>
              <w:tab/>
            </w:r>
            <w:r w:rsidRPr="00DC4965">
              <w:rPr>
                <w:b/>
                <w:bCs/>
              </w:rPr>
              <w:tab/>
              <w:t xml:space="preserve"> </w:t>
            </w:r>
          </w:p>
          <w:p w14:paraId="41FEA319" w14:textId="77777777" w:rsidR="00ED7CB0" w:rsidRPr="00DC4965" w:rsidRDefault="00ED7CB0" w:rsidP="000F6FD0">
            <w:pPr>
              <w:rPr>
                <w:b/>
                <w:bCs/>
              </w:rPr>
            </w:pPr>
            <w:r w:rsidRPr="00DC4965">
              <w:rPr>
                <w:b/>
                <w:bCs/>
              </w:rPr>
              <w:tab/>
            </w:r>
            <w:r w:rsidRPr="00DC4965">
              <w:rPr>
                <w:b/>
                <w:bCs/>
              </w:rPr>
              <w:tab/>
              <w:t xml:space="preserve"> </w:t>
            </w:r>
          </w:p>
          <w:p w14:paraId="60C3D3F7" w14:textId="77777777" w:rsidR="00ED7CB0" w:rsidRPr="00DC4965" w:rsidRDefault="00ED7CB0" w:rsidP="000F6FD0">
            <w:pPr>
              <w:rPr>
                <w:b/>
                <w:bCs/>
              </w:rPr>
            </w:pPr>
            <w:r w:rsidRPr="00DC4965">
              <w:rPr>
                <w:b/>
                <w:bCs/>
              </w:rPr>
              <w:t>Toluene-d8</w:t>
            </w:r>
            <w:r w:rsidRPr="00DC4965">
              <w:rPr>
                <w:b/>
                <w:bCs/>
              </w:rPr>
              <w:tab/>
            </w:r>
            <w:r w:rsidRPr="00DC4965">
              <w:rPr>
                <w:b/>
                <w:bCs/>
              </w:rPr>
              <w:tab/>
            </w:r>
            <w:r w:rsidRPr="00DC4965">
              <w:rPr>
                <w:b/>
                <w:bCs/>
              </w:rPr>
              <w:tab/>
            </w:r>
            <w:r w:rsidRPr="00DC4965">
              <w:rPr>
                <w:b/>
                <w:bCs/>
              </w:rPr>
              <w:tab/>
              <w:t xml:space="preserve"> </w:t>
            </w:r>
          </w:p>
          <w:p w14:paraId="53A79B6C" w14:textId="77777777" w:rsidR="00ED7CB0" w:rsidRPr="00DC4965" w:rsidRDefault="00ED7CB0" w:rsidP="000F6FD0">
            <w:pPr>
              <w:rPr>
                <w:b/>
                <w:bCs/>
              </w:rPr>
            </w:pPr>
            <w:r w:rsidRPr="00DC4965">
              <w:rPr>
                <w:b/>
                <w:bCs/>
              </w:rPr>
              <w:t>1,2-Dichloroethane-d4</w:t>
            </w:r>
            <w:r w:rsidRPr="00DC4965">
              <w:rPr>
                <w:b/>
                <w:bCs/>
              </w:rPr>
              <w:tab/>
            </w:r>
            <w:r w:rsidRPr="00DC4965">
              <w:rPr>
                <w:b/>
                <w:bCs/>
              </w:rPr>
              <w:tab/>
            </w:r>
            <w:r w:rsidRPr="00DC4965">
              <w:rPr>
                <w:b/>
                <w:bCs/>
              </w:rPr>
              <w:tab/>
              <w:t xml:space="preserve"> </w:t>
            </w:r>
          </w:p>
          <w:p w14:paraId="60025F44" w14:textId="77777777" w:rsidR="00ED7CB0" w:rsidRPr="00DC4965" w:rsidRDefault="00ED7CB0" w:rsidP="000F6FD0">
            <w:pPr>
              <w:rPr>
                <w:b/>
                <w:bCs/>
              </w:rPr>
            </w:pPr>
          </w:p>
          <w:p w14:paraId="560D9628" w14:textId="77777777" w:rsidR="00ED7CB0" w:rsidRPr="00DC4965" w:rsidRDefault="00ED7CB0" w:rsidP="000F6FD0">
            <w:pPr>
              <w:rPr>
                <w:b/>
                <w:bCs/>
              </w:rPr>
            </w:pPr>
          </w:p>
          <w:p w14:paraId="6246704B" w14:textId="77777777" w:rsidR="00ED7CB0" w:rsidRPr="00DC4965" w:rsidRDefault="00ED7CB0" w:rsidP="000F6FD0">
            <w:pPr>
              <w:rPr>
                <w:b/>
                <w:bCs/>
              </w:rPr>
            </w:pPr>
          </w:p>
          <w:p w14:paraId="434EDF70" w14:textId="77777777" w:rsidR="00ED7CB0" w:rsidRPr="00DC4965" w:rsidRDefault="00ED7CB0" w:rsidP="000F6FD0">
            <w:pPr>
              <w:rPr>
                <w:b/>
                <w:bCs/>
              </w:rPr>
            </w:pPr>
            <w:r>
              <w:rPr>
                <w:b/>
                <w:bCs/>
              </w:rPr>
              <w:t>a</w:t>
            </w:r>
            <w:r w:rsidRPr="00DC4965">
              <w:rPr>
                <w:b/>
                <w:bCs/>
              </w:rPr>
              <w:t xml:space="preserve"> </w:t>
            </w:r>
            <w:r>
              <w:rPr>
                <w:b/>
                <w:bCs/>
              </w:rPr>
              <w:t xml:space="preserve">See </w:t>
            </w:r>
            <w:r w:rsidRPr="00DC4965">
              <w:rPr>
                <w:b/>
                <w:bCs/>
              </w:rPr>
              <w:t xml:space="preserve">SW-846 Method </w:t>
            </w:r>
            <w:r>
              <w:rPr>
                <w:b/>
                <w:bCs/>
              </w:rPr>
              <w:t>8260D</w:t>
            </w:r>
            <w:r w:rsidRPr="00DC4965">
              <w:rPr>
                <w:b/>
                <w:bCs/>
              </w:rPr>
              <w:t xml:space="preserve">, Table </w:t>
            </w:r>
            <w:r>
              <w:rPr>
                <w:b/>
                <w:bCs/>
              </w:rPr>
              <w:t>1A for additional acceptable surrogates.</w:t>
            </w:r>
          </w:p>
        </w:tc>
      </w:tr>
      <w:tr w:rsidR="00ED7CB0" w14:paraId="285D53D6" w14:textId="77777777" w:rsidTr="2BA1A1D3">
        <w:tc>
          <w:tcPr>
            <w:tcW w:w="4675" w:type="dxa"/>
            <w:shd w:val="clear" w:color="auto" w:fill="D9D9D9" w:themeFill="background1" w:themeFillShade="D9"/>
          </w:tcPr>
          <w:p w14:paraId="4E78899D" w14:textId="77777777" w:rsidR="00ED7CB0" w:rsidRPr="00E24622" w:rsidRDefault="00ED7CB0" w:rsidP="000F6FD0">
            <w:r w:rsidRPr="00E24622">
              <w:lastRenderedPageBreak/>
              <w:t>2.4.1</w:t>
            </w:r>
            <w:r w:rsidRPr="00E24622">
              <w:tab/>
              <w:t>Are the surrogate recovery data present for each batch (method and matrix), including TCLP?</w:t>
            </w:r>
          </w:p>
          <w:p w14:paraId="014420EF" w14:textId="77777777" w:rsidR="00ED7CB0" w:rsidRPr="00DC4965" w:rsidRDefault="00ED7CB0" w:rsidP="000F6FD0">
            <w:pPr>
              <w:rPr>
                <w:b/>
                <w:bCs/>
              </w:rPr>
            </w:pPr>
          </w:p>
          <w:p w14:paraId="2DB01C95" w14:textId="77777777" w:rsidR="00ED7CB0" w:rsidRPr="00DC4965" w:rsidRDefault="00ED7CB0" w:rsidP="000F6FD0">
            <w:pPr>
              <w:rPr>
                <w:b/>
                <w:bCs/>
              </w:rPr>
            </w:pPr>
            <w:r w:rsidRPr="00DC4965">
              <w:rPr>
                <w:b/>
                <w:bCs/>
              </w:rPr>
              <w:t>Note: Samples may be included in different batches.  When this is the case, separate surrogate recoveries should be provided.</w:t>
            </w:r>
          </w:p>
          <w:p w14:paraId="58455CF7" w14:textId="77777777" w:rsidR="00ED7CB0" w:rsidRPr="00E24622" w:rsidRDefault="00ED7CB0" w:rsidP="000F6FD0">
            <w:pPr>
              <w:rPr>
                <w:i/>
                <w:iCs/>
              </w:rPr>
            </w:pPr>
          </w:p>
          <w:p w14:paraId="780C5717" w14:textId="77777777" w:rsidR="00ED7CB0" w:rsidRPr="00DC4965" w:rsidRDefault="00ED7CB0" w:rsidP="000F6FD0">
            <w:pPr>
              <w:rPr>
                <w:b/>
                <w:bCs/>
              </w:rPr>
            </w:pPr>
            <w:r w:rsidRPr="00E24622">
              <w:rPr>
                <w:i/>
                <w:iCs/>
              </w:rPr>
              <w:t>Action: If no, then contact the laboratory for an explanation and report re-submittal.</w:t>
            </w:r>
          </w:p>
        </w:tc>
        <w:tc>
          <w:tcPr>
            <w:tcW w:w="4675" w:type="dxa"/>
          </w:tcPr>
          <w:p w14:paraId="0C761055" w14:textId="77777777" w:rsidR="00ED7CB0" w:rsidRPr="00DC4965" w:rsidRDefault="00ED7CB0" w:rsidP="000F6FD0">
            <w:pPr>
              <w:rPr>
                <w:b/>
                <w:bCs/>
              </w:rPr>
            </w:pPr>
            <w:r>
              <w:rPr>
                <w:b/>
                <w:bCs/>
              </w:rPr>
              <w:t>Indicate yes or no:</w:t>
            </w:r>
          </w:p>
        </w:tc>
      </w:tr>
      <w:tr w:rsidR="00ED7CB0" w14:paraId="2D4A3209" w14:textId="77777777" w:rsidTr="2BA1A1D3">
        <w:tc>
          <w:tcPr>
            <w:tcW w:w="4675" w:type="dxa"/>
            <w:shd w:val="clear" w:color="auto" w:fill="D9D9D9" w:themeFill="background1" w:themeFillShade="D9"/>
          </w:tcPr>
          <w:p w14:paraId="1F66131C" w14:textId="77777777" w:rsidR="00ED7CB0" w:rsidRDefault="00ED7CB0" w:rsidP="000F6FD0">
            <w:r w:rsidRPr="00AA7903">
              <w:t>2.4.2</w:t>
            </w:r>
            <w:r w:rsidRPr="00AA7903">
              <w:tab/>
              <w:t>Are any surrogate recoveries are outside the QC limits?</w:t>
            </w:r>
          </w:p>
          <w:p w14:paraId="29F7CEE6" w14:textId="77777777" w:rsidR="00ED7CB0" w:rsidRDefault="00ED7CB0" w:rsidP="000F6FD0"/>
          <w:p w14:paraId="22C90A19" w14:textId="77777777" w:rsidR="00ED7CB0" w:rsidRPr="007F34A2" w:rsidRDefault="00ED7CB0" w:rsidP="000F6FD0">
            <w:pPr>
              <w:rPr>
                <w:rFonts w:eastAsiaTheme="minorEastAsia"/>
                <w:sz w:val="20"/>
                <w:szCs w:val="20"/>
              </w:rPr>
            </w:pPr>
          </w:p>
          <w:p w14:paraId="159531EF" w14:textId="77777777" w:rsidR="00ED7CB0" w:rsidRDefault="00ED7CB0" w:rsidP="000F6FD0">
            <w:pPr>
              <w:rPr>
                <w:rFonts w:eastAsiaTheme="minorEastAsia"/>
              </w:rPr>
            </w:pPr>
          </w:p>
          <w:p w14:paraId="17A950EE" w14:textId="77777777" w:rsidR="00ED7CB0" w:rsidRPr="007F34A2" w:rsidRDefault="00ED7CB0" w:rsidP="000F6FD0">
            <w:pPr>
              <w:rPr>
                <w:rFonts w:eastAsiaTheme="minorEastAsia"/>
              </w:rPr>
            </w:pPr>
            <w:r>
              <w:rPr>
                <w:b/>
                <w:bCs/>
              </w:rPr>
              <w:t xml:space="preserve">Note: </w:t>
            </w:r>
            <w:r w:rsidRPr="00846911">
              <w:rPr>
                <w:b/>
                <w:bCs/>
              </w:rPr>
              <w:t xml:space="preserve">Suggested surrogate recovery limits are 70 to 130% until laboratory or project-specific criteria </w:t>
            </w:r>
            <w:r>
              <w:rPr>
                <w:b/>
                <w:bCs/>
              </w:rPr>
              <w:t>are</w:t>
            </w:r>
            <w:r w:rsidRPr="00846911">
              <w:rPr>
                <w:b/>
                <w:bCs/>
              </w:rPr>
              <w:t xml:space="preserve"> developed. </w:t>
            </w:r>
            <w:r>
              <w:rPr>
                <w:b/>
                <w:bCs/>
              </w:rPr>
              <w:t>QC l</w:t>
            </w:r>
            <w:r w:rsidRPr="00846911">
              <w:rPr>
                <w:b/>
                <w:bCs/>
              </w:rPr>
              <w:t>imits will depend on the surrogates chosen, levels used, and instrument conditions.</w:t>
            </w:r>
            <w:r>
              <w:rPr>
                <w:b/>
                <w:bCs/>
              </w:rPr>
              <w:t xml:space="preserve"> </w:t>
            </w:r>
            <w:r w:rsidRPr="00DC4965">
              <w:rPr>
                <w:b/>
                <w:bCs/>
              </w:rPr>
              <w:t>Acceptance criteria is guidance.</w:t>
            </w:r>
          </w:p>
          <w:p w14:paraId="5592694A" w14:textId="77777777" w:rsidR="00ED7CB0" w:rsidRPr="00DC4965" w:rsidRDefault="00ED7CB0" w:rsidP="000F6FD0">
            <w:pPr>
              <w:rPr>
                <w:b/>
                <w:bCs/>
              </w:rPr>
            </w:pPr>
          </w:p>
          <w:p w14:paraId="6CDE29E0" w14:textId="77777777" w:rsidR="00ED7CB0" w:rsidRPr="00E24622" w:rsidRDefault="00ED7CB0" w:rsidP="000F6FD0">
            <w:pPr>
              <w:rPr>
                <w:i/>
                <w:iCs/>
              </w:rPr>
            </w:pPr>
            <w:r w:rsidRPr="00E24622">
              <w:rPr>
                <w:i/>
                <w:iCs/>
              </w:rPr>
              <w:t xml:space="preserve">Action: </w:t>
            </w:r>
            <w:r>
              <w:rPr>
                <w:i/>
                <w:iCs/>
              </w:rPr>
              <w:t>Identify samples with recoveries outside QC limits</w:t>
            </w:r>
            <w:r w:rsidRPr="00E24622">
              <w:rPr>
                <w:i/>
                <w:iCs/>
              </w:rPr>
              <w:t>.</w:t>
            </w:r>
          </w:p>
        </w:tc>
        <w:tc>
          <w:tcPr>
            <w:tcW w:w="4675" w:type="dxa"/>
          </w:tcPr>
          <w:p w14:paraId="21F96918" w14:textId="77777777" w:rsidR="00ED7CB0" w:rsidRDefault="00ED7CB0" w:rsidP="000F6FD0">
            <w:pPr>
              <w:rPr>
                <w:b/>
                <w:bCs/>
              </w:rPr>
            </w:pPr>
            <w:r w:rsidRPr="00F46733">
              <w:rPr>
                <w:b/>
                <w:bCs/>
              </w:rPr>
              <w:t>Indicate yes or no</w:t>
            </w:r>
            <w:r>
              <w:rPr>
                <w:b/>
                <w:bCs/>
              </w:rPr>
              <w:t>:</w:t>
            </w:r>
          </w:p>
          <w:p w14:paraId="784174CA" w14:textId="77777777" w:rsidR="00ED7CB0" w:rsidRDefault="00ED7CB0" w:rsidP="000F6FD0">
            <w:pPr>
              <w:rPr>
                <w:b/>
                <w:bCs/>
              </w:rPr>
            </w:pPr>
          </w:p>
          <w:p w14:paraId="022A56A2" w14:textId="77777777" w:rsidR="00ED7CB0" w:rsidRPr="00DC4965" w:rsidRDefault="00ED7CB0" w:rsidP="000F6FD0">
            <w:pPr>
              <w:rPr>
                <w:b/>
                <w:bCs/>
              </w:rPr>
            </w:pPr>
            <w:r>
              <w:rPr>
                <w:b/>
                <w:bCs/>
              </w:rPr>
              <w:t>If yes,</w:t>
            </w:r>
            <w:r w:rsidRPr="00F46733">
              <w:rPr>
                <w:b/>
                <w:bCs/>
              </w:rPr>
              <w:t xml:space="preserve"> </w:t>
            </w:r>
            <w:r>
              <w:rPr>
                <w:b/>
                <w:bCs/>
              </w:rPr>
              <w:t>l</w:t>
            </w:r>
            <w:r w:rsidRPr="00DC4965">
              <w:rPr>
                <w:b/>
                <w:bCs/>
              </w:rPr>
              <w:t>ist the sample ID(s), matrix(-ces) and parameter(s):</w:t>
            </w:r>
          </w:p>
        </w:tc>
      </w:tr>
      <w:tr w:rsidR="00ED7CB0" w14:paraId="298E1025" w14:textId="77777777" w:rsidTr="2BA1A1D3">
        <w:tc>
          <w:tcPr>
            <w:tcW w:w="4675" w:type="dxa"/>
            <w:shd w:val="clear" w:color="auto" w:fill="D9D9D9" w:themeFill="background1" w:themeFillShade="D9"/>
          </w:tcPr>
          <w:p w14:paraId="126E4B0E" w14:textId="3EDD2C62" w:rsidR="00ED7CB0" w:rsidRDefault="00ED7CB0" w:rsidP="4390D89D">
            <w:r>
              <w:t>2.4.3</w:t>
            </w:r>
            <w:r>
              <w:tab/>
              <w:t>Verify the calculations for at least one %R.</w:t>
            </w:r>
          </w:p>
          <w:p w14:paraId="2C422304" w14:textId="77777777" w:rsidR="00ED7CB0" w:rsidRDefault="00ED7CB0" w:rsidP="000F6FD0"/>
          <w:p w14:paraId="00461C82" w14:textId="77777777" w:rsidR="00ED7CB0" w:rsidRPr="00F64C28" w:rsidRDefault="00ED7CB0" w:rsidP="000F6FD0">
            <w:pPr>
              <w:rPr>
                <w:rFonts w:eastAsiaTheme="minorEastAsia"/>
                <w:sz w:val="20"/>
                <w:szCs w:val="20"/>
              </w:rPr>
            </w:pPr>
            <m:oMathPara>
              <m:oMath>
                <m:r>
                  <w:rPr>
                    <w:rFonts w:ascii="Cambria Math" w:hAnsi="Cambria Math"/>
                    <w:sz w:val="20"/>
                    <w:szCs w:val="20"/>
                  </w:rPr>
                  <m:t xml:space="preserve">Recovery % = </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Concentration found</m:t>
                        </m:r>
                      </m:e>
                    </m:d>
                  </m:num>
                  <m:den>
                    <m:d>
                      <m:dPr>
                        <m:ctrlPr>
                          <w:rPr>
                            <w:rFonts w:ascii="Cambria Math" w:hAnsi="Cambria Math"/>
                            <w:i/>
                            <w:sz w:val="20"/>
                            <w:szCs w:val="20"/>
                          </w:rPr>
                        </m:ctrlPr>
                      </m:dPr>
                      <m:e>
                        <m:r>
                          <w:rPr>
                            <w:rFonts w:ascii="Cambria Math" w:hAnsi="Cambria Math"/>
                            <w:sz w:val="20"/>
                            <w:szCs w:val="20"/>
                          </w:rPr>
                          <m:t>Concentration  added</m:t>
                        </m:r>
                      </m:e>
                    </m:d>
                  </m:den>
                </m:f>
                <m:r>
                  <w:rPr>
                    <w:rFonts w:ascii="Cambria Math" w:hAnsi="Cambria Math"/>
                    <w:sz w:val="20"/>
                    <w:szCs w:val="20"/>
                  </w:rPr>
                  <m:t xml:space="preserve"> ×100</m:t>
                </m:r>
              </m:oMath>
            </m:oMathPara>
          </w:p>
          <w:p w14:paraId="1CC068B7" w14:textId="77777777" w:rsidR="00ED7CB0" w:rsidRPr="00AA7903" w:rsidRDefault="00ED7CB0" w:rsidP="000F6FD0"/>
        </w:tc>
        <w:tc>
          <w:tcPr>
            <w:tcW w:w="4675" w:type="dxa"/>
          </w:tcPr>
          <w:p w14:paraId="1C7E04E2" w14:textId="77777777" w:rsidR="00ED7CB0" w:rsidRPr="00F46733" w:rsidRDefault="00ED7CB0" w:rsidP="000F6FD0">
            <w:pPr>
              <w:rPr>
                <w:b/>
                <w:bCs/>
              </w:rPr>
            </w:pPr>
            <w:r>
              <w:rPr>
                <w:b/>
                <w:bCs/>
              </w:rPr>
              <w:t>Show results of verified %R calculation:</w:t>
            </w:r>
          </w:p>
        </w:tc>
      </w:tr>
      <w:tr w:rsidR="00ED7CB0" w14:paraId="5FAB48C7" w14:textId="77777777" w:rsidTr="2BA1A1D3">
        <w:tc>
          <w:tcPr>
            <w:tcW w:w="4675" w:type="dxa"/>
            <w:shd w:val="clear" w:color="auto" w:fill="D9D9D9" w:themeFill="background1" w:themeFillShade="D9"/>
          </w:tcPr>
          <w:p w14:paraId="4A0E1E34" w14:textId="77777777" w:rsidR="00ED7CB0" w:rsidRPr="00E24622" w:rsidRDefault="00ED7CB0" w:rsidP="000F6FD0">
            <w:r w:rsidRPr="00E24622">
              <w:t>2.4.</w:t>
            </w:r>
            <w:r>
              <w:t>4</w:t>
            </w:r>
            <w:r w:rsidRPr="00E24622">
              <w:tab/>
              <w:t xml:space="preserve">If any surrogate compound was out of compliance was re-analysis performed to confirm a matrix interference? </w:t>
            </w:r>
          </w:p>
          <w:p w14:paraId="1AA984AA" w14:textId="77777777" w:rsidR="00ED7CB0" w:rsidRPr="00DC4965" w:rsidRDefault="00ED7CB0" w:rsidP="000F6FD0">
            <w:pPr>
              <w:rPr>
                <w:b/>
                <w:bCs/>
              </w:rPr>
            </w:pPr>
          </w:p>
          <w:p w14:paraId="74532414" w14:textId="77777777" w:rsidR="00ED7CB0" w:rsidRPr="00DC4965" w:rsidRDefault="00ED7CB0" w:rsidP="000F6FD0">
            <w:pPr>
              <w:rPr>
                <w:b/>
                <w:bCs/>
              </w:rPr>
            </w:pPr>
            <w:r w:rsidRPr="00DC4965">
              <w:rPr>
                <w:b/>
                <w:bCs/>
              </w:rPr>
              <w:t>Note: Check the report narrative for an indication of re-analysis.  Additionally, qualification may not be appropriate for TCLP data. Best professional judgment should be used to qualify data.</w:t>
            </w:r>
          </w:p>
          <w:p w14:paraId="349C078E" w14:textId="77777777" w:rsidR="00ED7CB0" w:rsidRPr="00DC4965" w:rsidRDefault="00ED7CB0" w:rsidP="000F6FD0">
            <w:pPr>
              <w:rPr>
                <w:b/>
                <w:bCs/>
              </w:rPr>
            </w:pPr>
          </w:p>
          <w:p w14:paraId="60DAA8D4" w14:textId="499434DD" w:rsidR="00ED7CB0" w:rsidRPr="00E24622" w:rsidRDefault="00ED7CB0" w:rsidP="2BA1A1D3">
            <w:pPr>
              <w:rPr>
                <w:i/>
                <w:iCs/>
              </w:rPr>
            </w:pPr>
            <w:r w:rsidRPr="2BA1A1D3">
              <w:rPr>
                <w:i/>
                <w:iCs/>
              </w:rPr>
              <w:t xml:space="preserve">Action: Based on the findings, qualify data using the following criteria in </w:t>
            </w:r>
            <w:r w:rsidR="5DE06934" w:rsidRPr="2BA1A1D3">
              <w:rPr>
                <w:i/>
                <w:iCs/>
              </w:rPr>
              <w:t xml:space="preserve">Table 2-3 </w:t>
            </w:r>
            <w:r w:rsidRPr="2BA1A1D3">
              <w:rPr>
                <w:i/>
                <w:iCs/>
              </w:rPr>
              <w:t>below.</w:t>
            </w:r>
          </w:p>
          <w:p w14:paraId="3F8BA97A" w14:textId="77777777" w:rsidR="00ED7CB0" w:rsidRPr="00E24622" w:rsidRDefault="00ED7CB0" w:rsidP="000F6FD0">
            <w:pPr>
              <w:rPr>
                <w:i/>
                <w:iCs/>
              </w:rPr>
            </w:pPr>
          </w:p>
          <w:p w14:paraId="6BF18CB4" w14:textId="77777777" w:rsidR="00ED7CB0" w:rsidRPr="00DC4965" w:rsidRDefault="00ED7CB0" w:rsidP="000F6FD0">
            <w:pPr>
              <w:rPr>
                <w:b/>
                <w:bCs/>
              </w:rPr>
            </w:pPr>
          </w:p>
        </w:tc>
        <w:tc>
          <w:tcPr>
            <w:tcW w:w="4675" w:type="dxa"/>
          </w:tcPr>
          <w:p w14:paraId="2CAFB7FF" w14:textId="77777777" w:rsidR="00ED7CB0" w:rsidRDefault="00ED7CB0" w:rsidP="000F6FD0">
            <w:pPr>
              <w:rPr>
                <w:b/>
                <w:bCs/>
              </w:rPr>
            </w:pPr>
            <w:r>
              <w:rPr>
                <w:b/>
                <w:bCs/>
              </w:rPr>
              <w:t>Indicate yes or no:</w:t>
            </w:r>
          </w:p>
          <w:p w14:paraId="6C328CF9" w14:textId="77777777" w:rsidR="00ED7CB0" w:rsidRDefault="00ED7CB0" w:rsidP="000F6FD0">
            <w:pPr>
              <w:rPr>
                <w:b/>
                <w:bCs/>
              </w:rPr>
            </w:pPr>
          </w:p>
          <w:p w14:paraId="6A571667" w14:textId="77777777" w:rsidR="00ED7CB0" w:rsidRDefault="00ED7CB0" w:rsidP="000F6FD0">
            <w:pPr>
              <w:rPr>
                <w:b/>
                <w:bCs/>
              </w:rPr>
            </w:pPr>
            <w:r>
              <w:rPr>
                <w:b/>
                <w:bCs/>
              </w:rPr>
              <w:t>If yes, l</w:t>
            </w:r>
            <w:r w:rsidRPr="00DC4965">
              <w:rPr>
                <w:b/>
                <w:bCs/>
              </w:rPr>
              <w:t>ist sample ID(s) for surrogate compounds out of compliance and criteria:</w:t>
            </w:r>
          </w:p>
          <w:p w14:paraId="2A0367A1" w14:textId="77777777" w:rsidR="00ED7CB0" w:rsidRPr="00820962" w:rsidRDefault="00ED7CB0" w:rsidP="000F6FD0"/>
        </w:tc>
      </w:tr>
    </w:tbl>
    <w:p w14:paraId="4913EA76" w14:textId="77777777" w:rsidR="00ED7CB0" w:rsidRDefault="00ED7CB0" w:rsidP="00ED7CB0"/>
    <w:tbl>
      <w:tblPr>
        <w:tblW w:w="923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82"/>
        <w:gridCol w:w="2205"/>
        <w:gridCol w:w="2052"/>
      </w:tblGrid>
      <w:tr w:rsidR="00ED7CB0" w:rsidRPr="00E72B97" w14:paraId="275878FD" w14:textId="77777777" w:rsidTr="27932C22">
        <w:trPr>
          <w:trHeight w:val="300"/>
        </w:trPr>
        <w:tc>
          <w:tcPr>
            <w:tcW w:w="9239"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16877D" w14:textId="183AC339" w:rsidR="00ED7CB0" w:rsidRPr="00E72B97" w:rsidRDefault="1D937BEA" w:rsidP="03353AD0">
            <w:pPr>
              <w:spacing w:after="0" w:line="240" w:lineRule="auto"/>
              <w:ind w:left="1740" w:right="1635"/>
              <w:jc w:val="center"/>
              <w:textAlignment w:val="baseline"/>
              <w:rPr>
                <w:rFonts w:eastAsia="Times New Roman"/>
                <w:b/>
                <w:bCs/>
              </w:rPr>
            </w:pPr>
            <w:bookmarkStart w:id="4" w:name="_Hlk106005153"/>
            <w:r w:rsidRPr="27932C22">
              <w:rPr>
                <w:rFonts w:eastAsia="Times New Roman"/>
                <w:b/>
                <w:bCs/>
              </w:rPr>
              <w:lastRenderedPageBreak/>
              <w:t xml:space="preserve">Table 2-3: </w:t>
            </w:r>
            <w:r w:rsidR="00ED7CB0" w:rsidRPr="27932C22">
              <w:rPr>
                <w:rFonts w:eastAsia="Times New Roman"/>
                <w:b/>
                <w:bCs/>
              </w:rPr>
              <w:t>Surrogate Actions for VOC Analyses</w:t>
            </w:r>
            <w:bookmarkEnd w:id="4"/>
          </w:p>
        </w:tc>
      </w:tr>
      <w:tr w:rsidR="00ED7CB0" w:rsidRPr="00E72B97" w14:paraId="2CA6329A" w14:textId="77777777" w:rsidTr="27932C22">
        <w:trPr>
          <w:trHeight w:val="300"/>
        </w:trPr>
        <w:tc>
          <w:tcPr>
            <w:tcW w:w="4982"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8264CB1" w14:textId="77777777" w:rsidR="00ED7CB0" w:rsidRPr="008E0CAC" w:rsidRDefault="00ED7CB0" w:rsidP="000F6FD0">
            <w:pPr>
              <w:spacing w:after="0" w:line="240" w:lineRule="auto"/>
              <w:textAlignment w:val="baseline"/>
              <w:rPr>
                <w:rFonts w:eastAsia="Times New Roman" w:cstheme="minorHAnsi"/>
              </w:rPr>
            </w:pPr>
            <w:r w:rsidRPr="008E0CAC">
              <w:rPr>
                <w:rFonts w:eastAsia="Times New Roman" w:cstheme="minorHAnsi"/>
              </w:rPr>
              <w:t> </w:t>
            </w:r>
          </w:p>
        </w:tc>
        <w:tc>
          <w:tcPr>
            <w:tcW w:w="425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058E06B" w14:textId="77777777" w:rsidR="00ED7CB0" w:rsidRPr="00E72B97" w:rsidRDefault="00ED7CB0" w:rsidP="000F6FD0">
            <w:pPr>
              <w:spacing w:after="0" w:line="240" w:lineRule="auto"/>
              <w:ind w:left="1740" w:right="1635"/>
              <w:jc w:val="center"/>
              <w:textAlignment w:val="baseline"/>
              <w:rPr>
                <w:rFonts w:eastAsia="Times New Roman" w:cstheme="minorHAnsi"/>
              </w:rPr>
            </w:pPr>
            <w:r w:rsidRPr="00E72B97">
              <w:rPr>
                <w:rFonts w:eastAsia="Times New Roman" w:cstheme="minorHAnsi"/>
                <w:b/>
              </w:rPr>
              <w:t>Action</w:t>
            </w:r>
            <w:r w:rsidRPr="00E72B97">
              <w:rPr>
                <w:rFonts w:eastAsia="Times New Roman" w:cstheme="minorHAnsi"/>
              </w:rPr>
              <w:t> </w:t>
            </w:r>
          </w:p>
        </w:tc>
      </w:tr>
      <w:tr w:rsidR="00ED7CB0" w:rsidRPr="00E72B97" w14:paraId="2998DEB1" w14:textId="77777777" w:rsidTr="27932C22">
        <w:trPr>
          <w:trHeight w:val="300"/>
        </w:trPr>
        <w:tc>
          <w:tcPr>
            <w:tcW w:w="0" w:type="auto"/>
            <w:vMerge/>
            <w:vAlign w:val="center"/>
            <w:hideMark/>
          </w:tcPr>
          <w:p w14:paraId="7EF00D97" w14:textId="77777777" w:rsidR="00ED7CB0" w:rsidRPr="00E72B97" w:rsidRDefault="00ED7CB0" w:rsidP="000F6FD0">
            <w:pPr>
              <w:spacing w:after="0" w:line="240" w:lineRule="auto"/>
              <w:rPr>
                <w:rFonts w:eastAsia="Times New Roman" w:cstheme="minorHAnsi"/>
              </w:rPr>
            </w:pPr>
          </w:p>
        </w:tc>
        <w:tc>
          <w:tcPr>
            <w:tcW w:w="220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A465D47" w14:textId="77777777" w:rsidR="00ED7CB0" w:rsidRPr="00E72B97" w:rsidRDefault="00ED7CB0" w:rsidP="000F6FD0">
            <w:pPr>
              <w:spacing w:after="0" w:line="240" w:lineRule="auto"/>
              <w:ind w:left="315" w:right="300"/>
              <w:jc w:val="center"/>
              <w:textAlignment w:val="baseline"/>
              <w:rPr>
                <w:rFonts w:eastAsia="Times New Roman" w:cstheme="minorHAnsi"/>
              </w:rPr>
            </w:pPr>
            <w:r w:rsidRPr="00E72B97">
              <w:rPr>
                <w:rFonts w:eastAsia="Times New Roman" w:cstheme="minorHAnsi"/>
                <w:b/>
              </w:rPr>
              <w:t>Detect</w:t>
            </w:r>
            <w:r w:rsidRPr="00E72B97">
              <w:rPr>
                <w:rFonts w:eastAsia="Times New Roman" w:cstheme="minorHAnsi"/>
              </w:rPr>
              <w:t> </w:t>
            </w:r>
          </w:p>
        </w:tc>
        <w:tc>
          <w:tcPr>
            <w:tcW w:w="205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8755DB5" w14:textId="77777777" w:rsidR="00ED7CB0" w:rsidRPr="00E72B97" w:rsidRDefault="00ED7CB0" w:rsidP="000F6FD0">
            <w:pPr>
              <w:spacing w:after="0" w:line="240" w:lineRule="auto"/>
              <w:ind w:left="315" w:right="195"/>
              <w:jc w:val="center"/>
              <w:textAlignment w:val="baseline"/>
              <w:rPr>
                <w:rFonts w:eastAsia="Times New Roman" w:cstheme="minorHAnsi"/>
              </w:rPr>
            </w:pPr>
            <w:r w:rsidRPr="00E72B97">
              <w:rPr>
                <w:rFonts w:eastAsia="Times New Roman" w:cstheme="minorHAnsi"/>
                <w:b/>
              </w:rPr>
              <w:t>Non-detect</w:t>
            </w:r>
            <w:r w:rsidRPr="00E72B97">
              <w:rPr>
                <w:rFonts w:eastAsia="Times New Roman" w:cstheme="minorHAnsi"/>
              </w:rPr>
              <w:t> </w:t>
            </w:r>
          </w:p>
        </w:tc>
      </w:tr>
      <w:tr w:rsidR="00ED7CB0" w:rsidRPr="00E72B97" w14:paraId="20F1D03E" w14:textId="77777777" w:rsidTr="27932C22">
        <w:trPr>
          <w:trHeight w:val="300"/>
        </w:trPr>
        <w:tc>
          <w:tcPr>
            <w:tcW w:w="4982" w:type="dxa"/>
            <w:tcBorders>
              <w:top w:val="single" w:sz="6" w:space="0" w:color="auto"/>
              <w:left w:val="single" w:sz="6" w:space="0" w:color="auto"/>
              <w:bottom w:val="single" w:sz="6" w:space="0" w:color="auto"/>
              <w:right w:val="single" w:sz="6" w:space="0" w:color="auto"/>
            </w:tcBorders>
            <w:shd w:val="clear" w:color="auto" w:fill="auto"/>
            <w:hideMark/>
          </w:tcPr>
          <w:p w14:paraId="68A40264" w14:textId="77777777" w:rsidR="00ED7CB0" w:rsidRPr="00E72B97" w:rsidRDefault="00ED7CB0" w:rsidP="000F6FD0">
            <w:pPr>
              <w:spacing w:after="0" w:line="240" w:lineRule="auto"/>
              <w:ind w:left="90"/>
              <w:textAlignment w:val="baseline"/>
              <w:rPr>
                <w:rFonts w:eastAsia="Times New Roman" w:cstheme="minorHAnsi"/>
              </w:rPr>
            </w:pPr>
            <w:r w:rsidRPr="00E72B97">
              <w:rPr>
                <w:rFonts w:eastAsia="Times New Roman" w:cstheme="minorHAnsi"/>
              </w:rPr>
              <w:t>Surrogate not present or not at specified concentration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76FCAB37" w14:textId="77777777" w:rsidR="00ED7CB0" w:rsidRPr="00E72B97" w:rsidRDefault="00ED7CB0" w:rsidP="000F6FD0">
            <w:pPr>
              <w:spacing w:after="0" w:line="240" w:lineRule="auto"/>
              <w:ind w:left="315" w:right="300"/>
              <w:jc w:val="center"/>
              <w:textAlignment w:val="baseline"/>
              <w:rPr>
                <w:rFonts w:eastAsia="Times New Roman" w:cstheme="minorHAnsi"/>
              </w:rPr>
            </w:pPr>
            <w:r w:rsidRPr="00E72B97">
              <w:rPr>
                <w:rFonts w:eastAsia="Times New Roman" w:cstheme="minorHAnsi"/>
              </w:rPr>
              <w:t>J or R </w:t>
            </w:r>
          </w:p>
        </w:tc>
        <w:tc>
          <w:tcPr>
            <w:tcW w:w="2052" w:type="dxa"/>
            <w:tcBorders>
              <w:top w:val="single" w:sz="6" w:space="0" w:color="auto"/>
              <w:left w:val="single" w:sz="6" w:space="0" w:color="auto"/>
              <w:bottom w:val="single" w:sz="6" w:space="0" w:color="auto"/>
              <w:right w:val="single" w:sz="6" w:space="0" w:color="auto"/>
            </w:tcBorders>
            <w:shd w:val="clear" w:color="auto" w:fill="auto"/>
            <w:hideMark/>
          </w:tcPr>
          <w:p w14:paraId="5641449B" w14:textId="77777777" w:rsidR="00ED7CB0" w:rsidRPr="00E72B97" w:rsidRDefault="00ED7CB0" w:rsidP="000F6FD0">
            <w:pPr>
              <w:spacing w:after="0" w:line="240" w:lineRule="auto"/>
              <w:ind w:left="315" w:right="195"/>
              <w:jc w:val="center"/>
              <w:textAlignment w:val="baseline"/>
              <w:rPr>
                <w:rFonts w:eastAsia="Times New Roman" w:cstheme="minorHAnsi"/>
              </w:rPr>
            </w:pPr>
            <w:r w:rsidRPr="00E72B97">
              <w:rPr>
                <w:rFonts w:eastAsia="Times New Roman" w:cstheme="minorHAnsi"/>
              </w:rPr>
              <w:t>UJ or R </w:t>
            </w:r>
          </w:p>
        </w:tc>
      </w:tr>
      <w:tr w:rsidR="00ED7CB0" w:rsidRPr="00E72B97" w14:paraId="09D9EBD9" w14:textId="77777777" w:rsidTr="27932C22">
        <w:trPr>
          <w:trHeight w:val="720"/>
        </w:trPr>
        <w:tc>
          <w:tcPr>
            <w:tcW w:w="4982" w:type="dxa"/>
            <w:tcBorders>
              <w:top w:val="single" w:sz="6" w:space="0" w:color="auto"/>
              <w:left w:val="single" w:sz="6" w:space="0" w:color="auto"/>
              <w:bottom w:val="single" w:sz="6" w:space="0" w:color="auto"/>
              <w:right w:val="single" w:sz="6" w:space="0" w:color="auto"/>
            </w:tcBorders>
            <w:shd w:val="clear" w:color="auto" w:fill="auto"/>
            <w:hideMark/>
          </w:tcPr>
          <w:p w14:paraId="77CE9D82" w14:textId="77777777" w:rsidR="00ED7CB0" w:rsidRPr="00E72B97" w:rsidRDefault="00ED7CB0" w:rsidP="000F6FD0">
            <w:pPr>
              <w:spacing w:after="0" w:line="240" w:lineRule="auto"/>
              <w:ind w:left="90"/>
              <w:textAlignment w:val="baseline"/>
              <w:rPr>
                <w:rFonts w:eastAsia="Times New Roman" w:cstheme="minorHAnsi"/>
              </w:rPr>
            </w:pPr>
            <w:r w:rsidRPr="00E72B97">
              <w:rPr>
                <w:rFonts w:eastAsia="Times New Roman" w:cstheme="minorHAnsi"/>
              </w:rPr>
              <w:t>%R &lt; Expanded Lower Acceptance Limit (10%, excluding surrogates with 10% as a lower acceptance limit, undiluted sample analysis)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4C7D6CE7" w14:textId="77777777" w:rsidR="00ED7CB0" w:rsidRPr="00E72B97" w:rsidRDefault="00ED7CB0" w:rsidP="000F6FD0">
            <w:pPr>
              <w:spacing w:after="0" w:line="240" w:lineRule="auto"/>
              <w:textAlignment w:val="baseline"/>
              <w:rPr>
                <w:rFonts w:eastAsia="Times New Roman" w:cstheme="minorHAnsi"/>
              </w:rPr>
            </w:pPr>
            <w:r w:rsidRPr="00E72B97">
              <w:rPr>
                <w:rFonts w:eastAsia="Times New Roman" w:cstheme="minorHAnsi"/>
              </w:rPr>
              <w:t> </w:t>
            </w:r>
          </w:p>
          <w:p w14:paraId="02C7AA52" w14:textId="77777777" w:rsidR="00ED7CB0" w:rsidRPr="00E72B97" w:rsidRDefault="00ED7CB0" w:rsidP="000F6FD0">
            <w:pPr>
              <w:spacing w:after="0" w:line="240" w:lineRule="auto"/>
              <w:ind w:left="315" w:right="300"/>
              <w:jc w:val="center"/>
              <w:textAlignment w:val="baseline"/>
              <w:rPr>
                <w:rFonts w:eastAsia="Times New Roman" w:cstheme="minorHAnsi"/>
              </w:rPr>
            </w:pPr>
            <w:r w:rsidRPr="008E0CAC">
              <w:rPr>
                <w:rFonts w:eastAsia="Times New Roman" w:cstheme="minorHAnsi"/>
              </w:rPr>
              <w:t>J- </w:t>
            </w:r>
          </w:p>
        </w:tc>
        <w:tc>
          <w:tcPr>
            <w:tcW w:w="2052" w:type="dxa"/>
            <w:tcBorders>
              <w:top w:val="single" w:sz="6" w:space="0" w:color="auto"/>
              <w:left w:val="single" w:sz="6" w:space="0" w:color="auto"/>
              <w:bottom w:val="single" w:sz="6" w:space="0" w:color="auto"/>
              <w:right w:val="single" w:sz="6" w:space="0" w:color="auto"/>
            </w:tcBorders>
            <w:shd w:val="clear" w:color="auto" w:fill="auto"/>
            <w:hideMark/>
          </w:tcPr>
          <w:p w14:paraId="40DDBB72" w14:textId="77777777" w:rsidR="00ED7CB0" w:rsidRPr="00E72B97" w:rsidRDefault="00ED7CB0" w:rsidP="000F6FD0">
            <w:pPr>
              <w:spacing w:after="0" w:line="240" w:lineRule="auto"/>
              <w:textAlignment w:val="baseline"/>
              <w:rPr>
                <w:rFonts w:eastAsia="Times New Roman" w:cstheme="minorHAnsi"/>
              </w:rPr>
            </w:pPr>
            <w:r w:rsidRPr="00E72B97">
              <w:rPr>
                <w:rFonts w:eastAsia="Times New Roman" w:cstheme="minorHAnsi"/>
              </w:rPr>
              <w:t> </w:t>
            </w:r>
          </w:p>
          <w:p w14:paraId="156CCBFA" w14:textId="77777777" w:rsidR="00ED7CB0" w:rsidRPr="00E72B97" w:rsidRDefault="00ED7CB0" w:rsidP="000F6FD0">
            <w:pPr>
              <w:spacing w:after="0" w:line="240" w:lineRule="auto"/>
              <w:ind w:left="105"/>
              <w:jc w:val="center"/>
              <w:textAlignment w:val="baseline"/>
              <w:rPr>
                <w:rFonts w:eastAsia="Times New Roman" w:cstheme="minorHAnsi"/>
              </w:rPr>
            </w:pPr>
            <w:r w:rsidRPr="00E72B97">
              <w:rPr>
                <w:rFonts w:eastAsia="Times New Roman" w:cstheme="minorHAnsi"/>
              </w:rPr>
              <w:t>R </w:t>
            </w:r>
          </w:p>
        </w:tc>
      </w:tr>
      <w:tr w:rsidR="00ED7CB0" w:rsidRPr="00E72B97" w14:paraId="4CE615EB" w14:textId="77777777" w:rsidTr="27932C22">
        <w:trPr>
          <w:trHeight w:val="945"/>
        </w:trPr>
        <w:tc>
          <w:tcPr>
            <w:tcW w:w="4982" w:type="dxa"/>
            <w:tcBorders>
              <w:top w:val="single" w:sz="6" w:space="0" w:color="auto"/>
              <w:left w:val="single" w:sz="6" w:space="0" w:color="auto"/>
              <w:bottom w:val="single" w:sz="6" w:space="0" w:color="auto"/>
              <w:right w:val="single" w:sz="6" w:space="0" w:color="auto"/>
            </w:tcBorders>
            <w:shd w:val="clear" w:color="auto" w:fill="auto"/>
            <w:hideMark/>
          </w:tcPr>
          <w:p w14:paraId="083995E3" w14:textId="77777777" w:rsidR="00ED7CB0" w:rsidRPr="00E72B97" w:rsidRDefault="00ED7CB0" w:rsidP="000F6FD0">
            <w:pPr>
              <w:spacing w:after="0" w:line="240" w:lineRule="auto"/>
              <w:ind w:left="90"/>
              <w:textAlignment w:val="baseline"/>
              <w:rPr>
                <w:rFonts w:eastAsia="Times New Roman" w:cstheme="minorHAnsi"/>
              </w:rPr>
            </w:pPr>
            <w:r w:rsidRPr="00E72B97">
              <w:rPr>
                <w:rFonts w:eastAsia="Times New Roman" w:cstheme="minorHAnsi"/>
              </w:rPr>
              <w:t>Expanded Lower Acceptance Limit (10%) ≤ %R (excluding surrogates with 10% as a lower acceptance limit, undiluted sample analysis) &lt; specified Lower Acceptance Limit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2437E5D5" w14:textId="77777777" w:rsidR="00ED7CB0" w:rsidRPr="00E72B97" w:rsidRDefault="00ED7CB0" w:rsidP="000F6FD0">
            <w:pPr>
              <w:spacing w:after="0" w:line="240" w:lineRule="auto"/>
              <w:textAlignment w:val="baseline"/>
              <w:rPr>
                <w:rFonts w:eastAsia="Times New Roman" w:cstheme="minorHAnsi"/>
              </w:rPr>
            </w:pPr>
            <w:r w:rsidRPr="00E72B97">
              <w:rPr>
                <w:rFonts w:eastAsia="Times New Roman" w:cstheme="minorHAnsi"/>
              </w:rPr>
              <w:t> </w:t>
            </w:r>
          </w:p>
          <w:p w14:paraId="0F78D0FB" w14:textId="77777777" w:rsidR="00ED7CB0" w:rsidRPr="00E72B97" w:rsidRDefault="00ED7CB0" w:rsidP="000F6FD0">
            <w:pPr>
              <w:spacing w:after="0" w:line="240" w:lineRule="auto"/>
              <w:ind w:left="315" w:right="300"/>
              <w:jc w:val="center"/>
              <w:textAlignment w:val="baseline"/>
              <w:rPr>
                <w:rFonts w:eastAsia="Times New Roman" w:cstheme="minorHAnsi"/>
              </w:rPr>
            </w:pPr>
            <w:r w:rsidRPr="00E72B97">
              <w:rPr>
                <w:rFonts w:eastAsia="Times New Roman" w:cstheme="minorHAnsi"/>
              </w:rPr>
              <w:t>J- </w:t>
            </w:r>
          </w:p>
        </w:tc>
        <w:tc>
          <w:tcPr>
            <w:tcW w:w="2052" w:type="dxa"/>
            <w:tcBorders>
              <w:top w:val="single" w:sz="6" w:space="0" w:color="auto"/>
              <w:left w:val="single" w:sz="6" w:space="0" w:color="auto"/>
              <w:bottom w:val="single" w:sz="6" w:space="0" w:color="auto"/>
              <w:right w:val="single" w:sz="6" w:space="0" w:color="auto"/>
            </w:tcBorders>
            <w:shd w:val="clear" w:color="auto" w:fill="auto"/>
            <w:hideMark/>
          </w:tcPr>
          <w:p w14:paraId="28F5F44B" w14:textId="77777777" w:rsidR="00ED7CB0" w:rsidRPr="00E72B97" w:rsidRDefault="00ED7CB0" w:rsidP="000F6FD0">
            <w:pPr>
              <w:spacing w:after="0" w:line="240" w:lineRule="auto"/>
              <w:textAlignment w:val="baseline"/>
              <w:rPr>
                <w:rFonts w:eastAsia="Times New Roman" w:cstheme="minorHAnsi"/>
              </w:rPr>
            </w:pPr>
            <w:r w:rsidRPr="00E72B97">
              <w:rPr>
                <w:rFonts w:eastAsia="Times New Roman" w:cstheme="minorHAnsi"/>
              </w:rPr>
              <w:t> </w:t>
            </w:r>
          </w:p>
          <w:p w14:paraId="7EA9A32E" w14:textId="77777777" w:rsidR="00ED7CB0" w:rsidRPr="00E72B97" w:rsidRDefault="00ED7CB0" w:rsidP="000F6FD0">
            <w:pPr>
              <w:spacing w:after="0" w:line="240" w:lineRule="auto"/>
              <w:ind w:left="315" w:right="195"/>
              <w:jc w:val="center"/>
              <w:textAlignment w:val="baseline"/>
              <w:rPr>
                <w:rFonts w:eastAsia="Times New Roman" w:cstheme="minorHAnsi"/>
              </w:rPr>
            </w:pPr>
            <w:r w:rsidRPr="00E72B97">
              <w:rPr>
                <w:rFonts w:eastAsia="Times New Roman" w:cstheme="minorHAnsi"/>
              </w:rPr>
              <w:t>UJ </w:t>
            </w:r>
          </w:p>
        </w:tc>
      </w:tr>
      <w:tr w:rsidR="00ED7CB0" w:rsidRPr="00E72B97" w14:paraId="50B5416B" w14:textId="77777777" w:rsidTr="27932C22">
        <w:trPr>
          <w:trHeight w:val="510"/>
        </w:trPr>
        <w:tc>
          <w:tcPr>
            <w:tcW w:w="4982" w:type="dxa"/>
            <w:tcBorders>
              <w:top w:val="single" w:sz="6" w:space="0" w:color="auto"/>
              <w:left w:val="single" w:sz="6" w:space="0" w:color="auto"/>
              <w:bottom w:val="single" w:sz="6" w:space="0" w:color="auto"/>
              <w:right w:val="single" w:sz="6" w:space="0" w:color="auto"/>
            </w:tcBorders>
            <w:shd w:val="clear" w:color="auto" w:fill="auto"/>
            <w:hideMark/>
          </w:tcPr>
          <w:p w14:paraId="31E3BC1A" w14:textId="77777777" w:rsidR="00ED7CB0" w:rsidRPr="00E72B97" w:rsidRDefault="00ED7CB0" w:rsidP="000F6FD0">
            <w:pPr>
              <w:spacing w:after="0" w:line="240" w:lineRule="auto"/>
              <w:ind w:left="90" w:right="180"/>
              <w:textAlignment w:val="baseline"/>
              <w:rPr>
                <w:rFonts w:eastAsia="Times New Roman" w:cstheme="minorHAnsi"/>
              </w:rPr>
            </w:pPr>
            <w:r w:rsidRPr="00E72B97">
              <w:rPr>
                <w:rFonts w:eastAsia="Times New Roman" w:cstheme="minorHAnsi"/>
              </w:rPr>
              <w:t>%R &lt; specified Lower Acceptance Limit (diluted sample analysis)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08B40239" w14:textId="77777777" w:rsidR="00ED7CB0" w:rsidRPr="00E72B97" w:rsidRDefault="00ED7CB0" w:rsidP="000F6FD0">
            <w:pPr>
              <w:spacing w:after="0" w:line="240" w:lineRule="auto"/>
              <w:ind w:left="615" w:right="285" w:hanging="315"/>
              <w:textAlignment w:val="baseline"/>
              <w:rPr>
                <w:rFonts w:eastAsia="Times New Roman" w:cstheme="minorHAnsi"/>
              </w:rPr>
            </w:pPr>
            <w:r w:rsidRPr="00E72B97">
              <w:rPr>
                <w:rFonts w:eastAsia="Times New Roman" w:cstheme="minorHAnsi"/>
              </w:rPr>
              <w:t>Use professional judgment </w:t>
            </w:r>
          </w:p>
        </w:tc>
        <w:tc>
          <w:tcPr>
            <w:tcW w:w="2052" w:type="dxa"/>
            <w:tcBorders>
              <w:top w:val="single" w:sz="6" w:space="0" w:color="auto"/>
              <w:left w:val="single" w:sz="6" w:space="0" w:color="auto"/>
              <w:bottom w:val="single" w:sz="6" w:space="0" w:color="auto"/>
              <w:right w:val="single" w:sz="6" w:space="0" w:color="auto"/>
            </w:tcBorders>
            <w:shd w:val="clear" w:color="auto" w:fill="auto"/>
            <w:hideMark/>
          </w:tcPr>
          <w:p w14:paraId="7CC5F0D6" w14:textId="77777777" w:rsidR="00ED7CB0" w:rsidRPr="00E72B97" w:rsidRDefault="00ED7CB0" w:rsidP="000F6FD0">
            <w:pPr>
              <w:spacing w:after="0" w:line="240" w:lineRule="auto"/>
              <w:ind w:left="615" w:hanging="315"/>
              <w:textAlignment w:val="baseline"/>
              <w:rPr>
                <w:rFonts w:eastAsia="Times New Roman" w:cstheme="minorHAnsi"/>
              </w:rPr>
            </w:pPr>
            <w:r w:rsidRPr="00E72B97">
              <w:rPr>
                <w:rFonts w:eastAsia="Times New Roman" w:cstheme="minorHAnsi"/>
              </w:rPr>
              <w:t>Use professional judgment </w:t>
            </w:r>
          </w:p>
        </w:tc>
      </w:tr>
      <w:tr w:rsidR="00ED7CB0" w:rsidRPr="00E72B97" w14:paraId="2AB19FC3" w14:textId="77777777" w:rsidTr="27932C22">
        <w:trPr>
          <w:trHeight w:val="300"/>
        </w:trPr>
        <w:tc>
          <w:tcPr>
            <w:tcW w:w="4982" w:type="dxa"/>
            <w:tcBorders>
              <w:top w:val="single" w:sz="6" w:space="0" w:color="auto"/>
              <w:left w:val="single" w:sz="6" w:space="0" w:color="auto"/>
              <w:bottom w:val="single" w:sz="6" w:space="0" w:color="auto"/>
              <w:right w:val="single" w:sz="6" w:space="0" w:color="auto"/>
            </w:tcBorders>
            <w:shd w:val="clear" w:color="auto" w:fill="auto"/>
            <w:hideMark/>
          </w:tcPr>
          <w:p w14:paraId="549B937E" w14:textId="77777777" w:rsidR="00ED7CB0" w:rsidRPr="00E72B97" w:rsidRDefault="00ED7CB0" w:rsidP="000F6FD0">
            <w:pPr>
              <w:spacing w:after="0" w:line="240" w:lineRule="auto"/>
              <w:ind w:left="90"/>
              <w:textAlignment w:val="baseline"/>
              <w:rPr>
                <w:rFonts w:eastAsia="Times New Roman" w:cstheme="minorHAnsi"/>
              </w:rPr>
            </w:pPr>
            <w:r w:rsidRPr="00E72B97">
              <w:rPr>
                <w:rFonts w:eastAsia="Times New Roman" w:cstheme="minorHAnsi"/>
              </w:rPr>
              <w:t>%R within specified Acceptance Limits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6F7618A5" w14:textId="77777777" w:rsidR="00ED7CB0" w:rsidRPr="00E72B97" w:rsidRDefault="00ED7CB0" w:rsidP="000F6FD0">
            <w:pPr>
              <w:spacing w:after="0" w:line="240" w:lineRule="auto"/>
              <w:ind w:left="315" w:right="300"/>
              <w:jc w:val="center"/>
              <w:textAlignment w:val="baseline"/>
              <w:rPr>
                <w:rFonts w:eastAsia="Times New Roman" w:cstheme="minorHAnsi"/>
              </w:rPr>
            </w:pPr>
            <w:r w:rsidRPr="00E72B97">
              <w:rPr>
                <w:rFonts w:eastAsia="Times New Roman" w:cstheme="minorHAnsi"/>
              </w:rPr>
              <w:t>No qualification </w:t>
            </w:r>
          </w:p>
        </w:tc>
        <w:tc>
          <w:tcPr>
            <w:tcW w:w="2052" w:type="dxa"/>
            <w:tcBorders>
              <w:top w:val="single" w:sz="6" w:space="0" w:color="auto"/>
              <w:left w:val="single" w:sz="6" w:space="0" w:color="auto"/>
              <w:bottom w:val="single" w:sz="6" w:space="0" w:color="auto"/>
              <w:right w:val="single" w:sz="6" w:space="0" w:color="auto"/>
            </w:tcBorders>
            <w:shd w:val="clear" w:color="auto" w:fill="auto"/>
            <w:hideMark/>
          </w:tcPr>
          <w:p w14:paraId="209C63E9" w14:textId="77777777" w:rsidR="00ED7CB0" w:rsidRPr="00E72B97" w:rsidRDefault="00ED7CB0" w:rsidP="000F6FD0">
            <w:pPr>
              <w:spacing w:after="0" w:line="240" w:lineRule="auto"/>
              <w:ind w:left="315" w:right="195"/>
              <w:jc w:val="center"/>
              <w:textAlignment w:val="baseline"/>
              <w:rPr>
                <w:rFonts w:eastAsia="Times New Roman" w:cstheme="minorHAnsi"/>
              </w:rPr>
            </w:pPr>
            <w:r w:rsidRPr="00E72B97">
              <w:rPr>
                <w:rFonts w:eastAsia="Times New Roman" w:cstheme="minorHAnsi"/>
              </w:rPr>
              <w:t>No qualification </w:t>
            </w:r>
          </w:p>
        </w:tc>
      </w:tr>
      <w:tr w:rsidR="00ED7CB0" w:rsidRPr="00E72B97" w14:paraId="36E8DC5A" w14:textId="77777777" w:rsidTr="27932C22">
        <w:trPr>
          <w:trHeight w:val="300"/>
        </w:trPr>
        <w:tc>
          <w:tcPr>
            <w:tcW w:w="4982" w:type="dxa"/>
            <w:tcBorders>
              <w:top w:val="single" w:sz="6" w:space="0" w:color="auto"/>
              <w:left w:val="single" w:sz="6" w:space="0" w:color="auto"/>
              <w:bottom w:val="single" w:sz="6" w:space="0" w:color="auto"/>
              <w:right w:val="single" w:sz="6" w:space="0" w:color="auto"/>
            </w:tcBorders>
            <w:shd w:val="clear" w:color="auto" w:fill="auto"/>
            <w:hideMark/>
          </w:tcPr>
          <w:p w14:paraId="7B4AC591" w14:textId="77777777" w:rsidR="00ED7CB0" w:rsidRPr="00E72B97" w:rsidRDefault="00ED7CB0" w:rsidP="000F6FD0">
            <w:pPr>
              <w:spacing w:after="0" w:line="240" w:lineRule="auto"/>
              <w:ind w:left="90"/>
              <w:textAlignment w:val="baseline"/>
              <w:rPr>
                <w:rFonts w:eastAsia="Times New Roman" w:cstheme="minorHAnsi"/>
              </w:rPr>
            </w:pPr>
            <w:r w:rsidRPr="00E72B97">
              <w:rPr>
                <w:rFonts w:eastAsia="Times New Roman" w:cstheme="minorHAnsi"/>
              </w:rPr>
              <w:t>%R &gt; specified Upper Acceptance Limit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7E8A41AF" w14:textId="77777777" w:rsidR="00ED7CB0" w:rsidRPr="00E72B97" w:rsidRDefault="00ED7CB0" w:rsidP="000F6FD0">
            <w:pPr>
              <w:spacing w:after="0" w:line="240" w:lineRule="auto"/>
              <w:ind w:left="315" w:right="300"/>
              <w:jc w:val="center"/>
              <w:textAlignment w:val="baseline"/>
              <w:rPr>
                <w:rFonts w:eastAsia="Times New Roman" w:cstheme="minorHAnsi"/>
              </w:rPr>
            </w:pPr>
            <w:r w:rsidRPr="00E72B97">
              <w:rPr>
                <w:rFonts w:eastAsia="Times New Roman" w:cstheme="minorHAnsi"/>
              </w:rPr>
              <w:t>J+ </w:t>
            </w:r>
          </w:p>
        </w:tc>
        <w:tc>
          <w:tcPr>
            <w:tcW w:w="2052" w:type="dxa"/>
            <w:tcBorders>
              <w:top w:val="single" w:sz="6" w:space="0" w:color="auto"/>
              <w:left w:val="single" w:sz="6" w:space="0" w:color="auto"/>
              <w:bottom w:val="single" w:sz="6" w:space="0" w:color="auto"/>
              <w:right w:val="single" w:sz="6" w:space="0" w:color="auto"/>
            </w:tcBorders>
            <w:shd w:val="clear" w:color="auto" w:fill="auto"/>
            <w:hideMark/>
          </w:tcPr>
          <w:p w14:paraId="1906DA13" w14:textId="77777777" w:rsidR="00ED7CB0" w:rsidRPr="00E72B97" w:rsidRDefault="00ED7CB0" w:rsidP="000F6FD0">
            <w:pPr>
              <w:spacing w:after="0" w:line="240" w:lineRule="auto"/>
              <w:ind w:left="315" w:right="195"/>
              <w:jc w:val="center"/>
              <w:textAlignment w:val="baseline"/>
              <w:rPr>
                <w:rFonts w:eastAsia="Times New Roman" w:cstheme="minorHAnsi"/>
              </w:rPr>
            </w:pPr>
            <w:r w:rsidRPr="00E72B97">
              <w:rPr>
                <w:rFonts w:eastAsia="Times New Roman" w:cstheme="minorHAnsi"/>
              </w:rPr>
              <w:t>No qualification </w:t>
            </w:r>
          </w:p>
        </w:tc>
      </w:tr>
    </w:tbl>
    <w:p w14:paraId="1E5A2D2F" w14:textId="77777777" w:rsidR="00ED7CB0" w:rsidRDefault="00ED7CB0" w:rsidP="00ED7CB0"/>
    <w:p w14:paraId="373D0B12" w14:textId="77777777" w:rsidR="000F6FD0" w:rsidRDefault="000F6FD0"/>
    <w:sectPr w:rsidR="000F6FD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AD1D2" w14:textId="77777777" w:rsidR="00BE6F1A" w:rsidRDefault="00BE6F1A" w:rsidP="00ED7CB0">
      <w:pPr>
        <w:spacing w:after="0" w:line="240" w:lineRule="auto"/>
      </w:pPr>
      <w:r>
        <w:separator/>
      </w:r>
    </w:p>
  </w:endnote>
  <w:endnote w:type="continuationSeparator" w:id="0">
    <w:p w14:paraId="1FD556C6" w14:textId="77777777" w:rsidR="00BE6F1A" w:rsidRDefault="00BE6F1A" w:rsidP="00ED7CB0">
      <w:pPr>
        <w:spacing w:after="0" w:line="240" w:lineRule="auto"/>
      </w:pPr>
      <w:r>
        <w:continuationSeparator/>
      </w:r>
    </w:p>
  </w:endnote>
  <w:endnote w:type="continuationNotice" w:id="1">
    <w:p w14:paraId="6FC0D023" w14:textId="77777777" w:rsidR="00BE6F1A" w:rsidRDefault="00BE6F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9FDB" w14:textId="77777777" w:rsidR="00ED7CB0" w:rsidRDefault="00ED7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E5E6F" w14:textId="77777777" w:rsidR="00ED7CB0" w:rsidRDefault="00ED7C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85D59" w14:textId="77777777" w:rsidR="00ED7CB0" w:rsidRDefault="00ED7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3AB9A" w14:textId="77777777" w:rsidR="00BE6F1A" w:rsidRDefault="00BE6F1A" w:rsidP="00ED7CB0">
      <w:pPr>
        <w:spacing w:after="0" w:line="240" w:lineRule="auto"/>
      </w:pPr>
      <w:r>
        <w:separator/>
      </w:r>
    </w:p>
  </w:footnote>
  <w:footnote w:type="continuationSeparator" w:id="0">
    <w:p w14:paraId="0BC92E77" w14:textId="77777777" w:rsidR="00BE6F1A" w:rsidRDefault="00BE6F1A" w:rsidP="00ED7CB0">
      <w:pPr>
        <w:spacing w:after="0" w:line="240" w:lineRule="auto"/>
      </w:pPr>
      <w:r>
        <w:continuationSeparator/>
      </w:r>
    </w:p>
  </w:footnote>
  <w:footnote w:type="continuationNotice" w:id="1">
    <w:p w14:paraId="187FAA3D" w14:textId="77777777" w:rsidR="00BE6F1A" w:rsidRDefault="00BE6F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333AF" w14:textId="77777777" w:rsidR="00ED7CB0" w:rsidRDefault="00ED7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rPr>
      <w:id w:val="-1958009387"/>
      <w:docPartObj>
        <w:docPartGallery w:val="Page Numbers (Top of Page)"/>
        <w:docPartUnique/>
      </w:docPartObj>
    </w:sdtPr>
    <w:sdtEndPr>
      <w:rPr>
        <w:b/>
        <w:bCs/>
        <w:noProof/>
        <w:color w:val="auto"/>
      </w:rPr>
    </w:sdtEndPr>
    <w:sdtContent>
      <w:p w14:paraId="6AA21FD5" w14:textId="757B4E08" w:rsidR="00ED7CB0" w:rsidRPr="00C2516D" w:rsidRDefault="00ED7CB0" w:rsidP="00ED7CB0">
        <w:pPr>
          <w:pStyle w:val="Header"/>
          <w:pBdr>
            <w:bottom w:val="single" w:sz="4" w:space="1" w:color="D9D9D9" w:themeColor="background1" w:themeShade="D9"/>
          </w:pBdr>
          <w:rPr>
            <w:color w:val="7F7F7F" w:themeColor="background1" w:themeShade="7F"/>
          </w:rPr>
        </w:pPr>
        <w:r w:rsidRPr="00C2516D">
          <w:rPr>
            <w:color w:val="7F7F7F" w:themeColor="background1" w:themeShade="7F"/>
          </w:rPr>
          <w:t>Tier I Checklist</w:t>
        </w:r>
        <w:r w:rsidR="00FE56F7" w:rsidRPr="00C2516D">
          <w:rPr>
            <w:color w:val="7F7F7F" w:themeColor="background1" w:themeShade="7F"/>
          </w:rPr>
          <w:t xml:space="preserve"> #2</w:t>
        </w:r>
      </w:p>
      <w:p w14:paraId="68AC1BFF" w14:textId="1000F74C" w:rsidR="00ED7CB0" w:rsidRPr="00C2516D" w:rsidRDefault="00C2516D" w:rsidP="00ED7CB0">
        <w:pPr>
          <w:pStyle w:val="Header"/>
          <w:pBdr>
            <w:bottom w:val="single" w:sz="4" w:space="1" w:color="D9D9D9" w:themeColor="background1" w:themeShade="D9"/>
          </w:pBdr>
          <w:rPr>
            <w:b/>
            <w:bCs/>
          </w:rPr>
        </w:pPr>
        <w:r>
          <w:rPr>
            <w:color w:val="7F7F7F" w:themeColor="background1" w:themeShade="7F"/>
          </w:rPr>
          <w:t>May 2023</w:t>
        </w:r>
        <w:r w:rsidR="00ED7CB0" w:rsidRPr="00C2516D">
          <w:rPr>
            <w:color w:val="7F7F7F" w:themeColor="background1" w:themeShade="7F"/>
          </w:rPr>
          <w:tab/>
        </w:r>
        <w:r w:rsidR="00ED7CB0" w:rsidRPr="00C2516D">
          <w:rPr>
            <w:color w:val="7F7F7F" w:themeColor="background1" w:themeShade="7F"/>
          </w:rPr>
          <w:tab/>
          <w:t>Page</w:t>
        </w:r>
        <w:r w:rsidR="00ED7CB0" w:rsidRPr="00C2516D">
          <w:t xml:space="preserve"> | </w:t>
        </w:r>
        <w:r w:rsidR="00ED7CB0" w:rsidRPr="00C2516D">
          <w:fldChar w:fldCharType="begin"/>
        </w:r>
        <w:r w:rsidR="00ED7CB0" w:rsidRPr="00C2516D">
          <w:instrText xml:space="preserve"> PAGE   \* MERGEFORMAT </w:instrText>
        </w:r>
        <w:r w:rsidR="00ED7CB0" w:rsidRPr="00C2516D">
          <w:fldChar w:fldCharType="separate"/>
        </w:r>
        <w:r w:rsidR="00ED7CB0" w:rsidRPr="00C2516D">
          <w:t>16</w:t>
        </w:r>
        <w:r w:rsidR="00ED7CB0" w:rsidRPr="00C2516D">
          <w:rPr>
            <w:b/>
            <w:bCs/>
            <w:noProof/>
          </w:rPr>
          <w:fldChar w:fldCharType="end"/>
        </w:r>
      </w:p>
    </w:sdtContent>
  </w:sdt>
  <w:p w14:paraId="305A7045" w14:textId="77777777" w:rsidR="00ED7CB0" w:rsidRDefault="00ED7C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6DE19" w14:textId="77777777" w:rsidR="00ED7CB0" w:rsidRDefault="00ED7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1404A"/>
    <w:multiLevelType w:val="hybridMultilevel"/>
    <w:tmpl w:val="A4FE2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05629D"/>
    <w:multiLevelType w:val="multilevel"/>
    <w:tmpl w:val="EFFC28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38391A89"/>
    <w:multiLevelType w:val="hybridMultilevel"/>
    <w:tmpl w:val="C32E5362"/>
    <w:lvl w:ilvl="0" w:tplc="33CA2AF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0F16E0"/>
    <w:multiLevelType w:val="hybridMultilevel"/>
    <w:tmpl w:val="747C422E"/>
    <w:lvl w:ilvl="0" w:tplc="DB90C8EA">
      <w:start w:val="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8772662">
    <w:abstractNumId w:val="0"/>
  </w:num>
  <w:num w:numId="2" w16cid:durableId="518783161">
    <w:abstractNumId w:val="3"/>
  </w:num>
  <w:num w:numId="3" w16cid:durableId="1516189006">
    <w:abstractNumId w:val="2"/>
  </w:num>
  <w:num w:numId="4" w16cid:durableId="1068303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CB0"/>
    <w:rsid w:val="000F6FD0"/>
    <w:rsid w:val="001E1DF5"/>
    <w:rsid w:val="001E27E8"/>
    <w:rsid w:val="00264498"/>
    <w:rsid w:val="00297B8F"/>
    <w:rsid w:val="002D7D25"/>
    <w:rsid w:val="002F03B5"/>
    <w:rsid w:val="00313687"/>
    <w:rsid w:val="003F6DC2"/>
    <w:rsid w:val="00494807"/>
    <w:rsid w:val="00583690"/>
    <w:rsid w:val="00662B7B"/>
    <w:rsid w:val="00691018"/>
    <w:rsid w:val="00732DF6"/>
    <w:rsid w:val="00834540"/>
    <w:rsid w:val="008426CA"/>
    <w:rsid w:val="00B80FB3"/>
    <w:rsid w:val="00BB1E7E"/>
    <w:rsid w:val="00BE6F1A"/>
    <w:rsid w:val="00BF79D1"/>
    <w:rsid w:val="00C2516D"/>
    <w:rsid w:val="00CA69A3"/>
    <w:rsid w:val="00CA71D3"/>
    <w:rsid w:val="00E32EDF"/>
    <w:rsid w:val="00ED7CB0"/>
    <w:rsid w:val="00EE2BCC"/>
    <w:rsid w:val="00EF6C5C"/>
    <w:rsid w:val="00F12E1F"/>
    <w:rsid w:val="00F303C0"/>
    <w:rsid w:val="00FE56F7"/>
    <w:rsid w:val="0126BBBB"/>
    <w:rsid w:val="01A5A9F1"/>
    <w:rsid w:val="03353AD0"/>
    <w:rsid w:val="136F22B7"/>
    <w:rsid w:val="191B79EA"/>
    <w:rsid w:val="1D2500D9"/>
    <w:rsid w:val="1D4EC31D"/>
    <w:rsid w:val="1D937BEA"/>
    <w:rsid w:val="27932C22"/>
    <w:rsid w:val="289D768B"/>
    <w:rsid w:val="2BA1A1D3"/>
    <w:rsid w:val="303AC19B"/>
    <w:rsid w:val="3EE64AE4"/>
    <w:rsid w:val="4390D89D"/>
    <w:rsid w:val="47E6695E"/>
    <w:rsid w:val="4A056841"/>
    <w:rsid w:val="5DE06934"/>
    <w:rsid w:val="6970FEA2"/>
    <w:rsid w:val="6BF8BD3F"/>
    <w:rsid w:val="6E0F04E1"/>
    <w:rsid w:val="7FE4A4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ABE0C"/>
  <w15:chartTrackingRefBased/>
  <w15:docId w15:val="{B609B7FA-8CBA-4431-B54F-F681C9FF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C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D7C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C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CB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D7CB0"/>
    <w:rPr>
      <w:rFonts w:eastAsiaTheme="minorEastAsia"/>
      <w:color w:val="5A5A5A" w:themeColor="text1" w:themeTint="A5"/>
      <w:spacing w:val="15"/>
    </w:rPr>
  </w:style>
  <w:style w:type="paragraph" w:styleId="Header">
    <w:name w:val="header"/>
    <w:basedOn w:val="Normal"/>
    <w:link w:val="HeaderChar"/>
    <w:uiPriority w:val="99"/>
    <w:unhideWhenUsed/>
    <w:rsid w:val="00ED7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CB0"/>
  </w:style>
  <w:style w:type="paragraph" w:styleId="Footer">
    <w:name w:val="footer"/>
    <w:basedOn w:val="Normal"/>
    <w:link w:val="FooterChar"/>
    <w:uiPriority w:val="99"/>
    <w:unhideWhenUsed/>
    <w:rsid w:val="00ED7C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CB0"/>
  </w:style>
  <w:style w:type="character" w:styleId="CommentReference">
    <w:name w:val="annotation reference"/>
    <w:basedOn w:val="DefaultParagraphFont"/>
    <w:uiPriority w:val="99"/>
    <w:semiHidden/>
    <w:unhideWhenUsed/>
    <w:rsid w:val="00ED7CB0"/>
    <w:rPr>
      <w:sz w:val="16"/>
      <w:szCs w:val="16"/>
    </w:rPr>
  </w:style>
  <w:style w:type="paragraph" w:styleId="CommentText">
    <w:name w:val="annotation text"/>
    <w:basedOn w:val="Normal"/>
    <w:link w:val="CommentTextChar"/>
    <w:uiPriority w:val="99"/>
    <w:unhideWhenUsed/>
    <w:rsid w:val="00ED7CB0"/>
    <w:pPr>
      <w:spacing w:line="240" w:lineRule="auto"/>
    </w:pPr>
    <w:rPr>
      <w:sz w:val="20"/>
      <w:szCs w:val="20"/>
    </w:rPr>
  </w:style>
  <w:style w:type="character" w:customStyle="1" w:styleId="CommentTextChar">
    <w:name w:val="Comment Text Char"/>
    <w:basedOn w:val="DefaultParagraphFont"/>
    <w:link w:val="CommentText"/>
    <w:uiPriority w:val="99"/>
    <w:rsid w:val="00ED7CB0"/>
    <w:rPr>
      <w:sz w:val="20"/>
      <w:szCs w:val="20"/>
    </w:rPr>
  </w:style>
  <w:style w:type="paragraph" w:styleId="CommentSubject">
    <w:name w:val="annotation subject"/>
    <w:basedOn w:val="CommentText"/>
    <w:next w:val="CommentText"/>
    <w:link w:val="CommentSubjectChar"/>
    <w:uiPriority w:val="99"/>
    <w:semiHidden/>
    <w:unhideWhenUsed/>
    <w:rsid w:val="00ED7CB0"/>
    <w:rPr>
      <w:b/>
      <w:bCs/>
    </w:rPr>
  </w:style>
  <w:style w:type="character" w:customStyle="1" w:styleId="CommentSubjectChar">
    <w:name w:val="Comment Subject Char"/>
    <w:basedOn w:val="CommentTextChar"/>
    <w:link w:val="CommentSubject"/>
    <w:uiPriority w:val="99"/>
    <w:semiHidden/>
    <w:rsid w:val="00ED7CB0"/>
    <w:rPr>
      <w:b/>
      <w:bCs/>
      <w:sz w:val="20"/>
      <w:szCs w:val="20"/>
    </w:rPr>
  </w:style>
  <w:style w:type="character" w:styleId="Hyperlink">
    <w:name w:val="Hyperlink"/>
    <w:basedOn w:val="DefaultParagraphFont"/>
    <w:uiPriority w:val="99"/>
    <w:unhideWhenUsed/>
    <w:rsid w:val="00ED7CB0"/>
    <w:rPr>
      <w:color w:val="0563C1" w:themeColor="hyperlink"/>
      <w:u w:val="single"/>
    </w:rPr>
  </w:style>
  <w:style w:type="character" w:styleId="PlaceholderText">
    <w:name w:val="Placeholder Text"/>
    <w:basedOn w:val="DefaultParagraphFont"/>
    <w:uiPriority w:val="99"/>
    <w:semiHidden/>
    <w:rsid w:val="00ED7CB0"/>
    <w:rPr>
      <w:color w:val="808080"/>
    </w:rPr>
  </w:style>
  <w:style w:type="paragraph" w:customStyle="1" w:styleId="Default">
    <w:name w:val="Default"/>
    <w:rsid w:val="00ED7CB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ED7CB0"/>
    <w:rPr>
      <w:color w:val="605E5C"/>
      <w:shd w:val="clear" w:color="auto" w:fill="E1DFDD"/>
    </w:rPr>
  </w:style>
  <w:style w:type="character" w:styleId="FollowedHyperlink">
    <w:name w:val="FollowedHyperlink"/>
    <w:basedOn w:val="DefaultParagraphFont"/>
    <w:uiPriority w:val="99"/>
    <w:semiHidden/>
    <w:unhideWhenUsed/>
    <w:rsid w:val="00ED7CB0"/>
    <w:rPr>
      <w:color w:val="954F72" w:themeColor="followedHyperlink"/>
      <w:u w:val="single"/>
    </w:rPr>
  </w:style>
  <w:style w:type="paragraph" w:styleId="Revision">
    <w:name w:val="Revision"/>
    <w:hidden/>
    <w:uiPriority w:val="99"/>
    <w:semiHidden/>
    <w:rsid w:val="00ED7CB0"/>
    <w:pPr>
      <w:spacing w:after="0" w:line="240" w:lineRule="auto"/>
    </w:pPr>
  </w:style>
  <w:style w:type="paragraph" w:customStyle="1" w:styleId="paragraph">
    <w:name w:val="paragraph"/>
    <w:basedOn w:val="Normal"/>
    <w:rsid w:val="00ED7C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D7CB0"/>
  </w:style>
  <w:style w:type="character" w:customStyle="1" w:styleId="eop">
    <w:name w:val="eop"/>
    <w:basedOn w:val="DefaultParagraphFont"/>
    <w:rsid w:val="00ED7CB0"/>
  </w:style>
  <w:style w:type="paragraph" w:styleId="ListParagraph">
    <w:name w:val="List Paragraph"/>
    <w:basedOn w:val="Normal"/>
    <w:uiPriority w:val="34"/>
    <w:qFormat/>
    <w:rsid w:val="00ED7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49CC91B703A408300195853313740" ma:contentTypeVersion="24" ma:contentTypeDescription="Create a new document." ma:contentTypeScope="" ma:versionID="ebc3b3dba7a8cd0a96d79cf1854f41d7">
  <xsd:schema xmlns:xsd="http://www.w3.org/2001/XMLSchema" xmlns:xs="http://www.w3.org/2001/XMLSchema" xmlns:p="http://schemas.microsoft.com/office/2006/metadata/properties" xmlns:ns2="252b6ee7-883f-47cc-9ef4-51084eb5a364" xmlns:ns3="0ac40943-4753-4f9b-a2b3-8b5d259efe3d" targetNamespace="http://schemas.microsoft.com/office/2006/metadata/properties" ma:root="true" ma:fieldsID="c1b80c48bff50f10d9a7b34ab256b019" ns2:_="" ns3:_="">
    <xsd:import namespace="252b6ee7-883f-47cc-9ef4-51084eb5a364"/>
    <xsd:import namespace="0ac40943-4753-4f9b-a2b3-8b5d259efe3d"/>
    <xsd:element name="properties">
      <xsd:complexType>
        <xsd:sequence>
          <xsd:element name="documentManagement">
            <xsd:complexType>
              <xsd:all>
                <xsd:element ref="ns2:Main_x0020_Folder" minOccurs="0"/>
                <xsd:element ref="ns2:Sub_x002d_Folder" minOccurs="0"/>
                <xsd:element ref="ns2:_x0032_nd_x0020_Level_x0020_Sub_x002d_Folder" minOccurs="0"/>
                <xsd:element ref="ns2:Category" minOccurs="0"/>
                <xsd:element ref="ns3:SharedWithUsers" minOccurs="0"/>
                <xsd:element ref="ns3:SharedWithDetails" minOccurs="0"/>
                <xsd:element ref="ns2:MediaServiceMetadata" minOccurs="0"/>
                <xsd:element ref="ns2:MediaServiceFastMetadata" minOccurs="0"/>
                <xsd:element ref="ns2:order0"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b6ee7-883f-47cc-9ef4-51084eb5a364" elementFormDefault="qualified">
    <xsd:import namespace="http://schemas.microsoft.com/office/2006/documentManagement/types"/>
    <xsd:import namespace="http://schemas.microsoft.com/office/infopath/2007/PartnerControls"/>
    <xsd:element name="Main_x0020_Folder" ma:index="8" nillable="true" ma:displayName="Main Folder" ma:format="Dropdown" ma:internalName="Main_x0020_Folder" ma:readOnly="false">
      <xsd:simpleType>
        <xsd:restriction base="dms:Choice">
          <xsd:enumeration value="Closure Boilerplate Letters"/>
          <xsd:enumeration value="Closure Plan Review Forms"/>
          <xsd:enumeration value="Compliance Monitoring Strategy for Post-Closure Facilities"/>
          <xsd:enumeration value="Corrective Action Resources"/>
          <xsd:enumeration value="Data Validation Guidance"/>
          <xsd:enumeration value="ERAS Work Request Form"/>
          <xsd:enumeration value="Vactrose Zone Model Guidance"/>
          <xsd:enumeration value="CPRG Review"/>
          <xsd:enumeration value="CASS FORM (ver.2) and Model Permit"/>
          <xsd:enumeration value="VI Resources"/>
          <xsd:enumeration value="VI Sampling"/>
        </xsd:restriction>
      </xsd:simpleType>
    </xsd:element>
    <xsd:element name="Sub_x002d_Folder" ma:index="9" nillable="true" ma:displayName="Sub-Folder" ma:format="Dropdown" ma:internalName="Sub_x002d_Folder" ma:readOnly="false">
      <xsd:simpleType>
        <xsd:restriction base="dms:Choice">
          <xsd:enumeration value="CO-Closure Plan NODs"/>
          <xsd:enumeration value="Director's Signature-CP Approvals-Amendments-Extensions-"/>
          <xsd:enumeration value="DO-NODs, Minor Mod Approvals, Certification Accptance-NOD"/>
          <xsd:enumeration value="CORRECTIVE ACTION BOILERPLATES"/>
          <xsd:enumeration value="Decision Documents"/>
          <xsd:enumeration value="EPA RFI Guidance May 1989"/>
          <xsd:enumeration value="Statement of Basis"/>
          <xsd:enumeration value="USEPA STRATEGIC PLAN DEVELOPMENT"/>
          <xsd:enumeration value="Data Validation Resources"/>
          <xsd:enumeration value="Module E Draft Permit Examples"/>
          <xsd:enumeration value="CPRG 2017"/>
        </xsd:restriction>
      </xsd:simpleType>
    </xsd:element>
    <xsd:element name="_x0032_nd_x0020_Level_x0020_Sub_x002d_Folder" ma:index="10" nillable="true" ma:displayName="2nd Level Sub-Folder" ma:format="Dropdown" ma:internalName="_x0032_nd_x0020_Level_x0020_Sub_x002d_Folder" ma:readOnly="false">
      <xsd:simpleType>
        <xsd:restriction base="dms:Choice">
          <xsd:enumeration value="REILLY Word D. Documents"/>
        </xsd:restriction>
      </xsd:simpleType>
    </xsd:element>
    <xsd:element name="Category" ma:index="11" nillable="true" ma:displayName="Category" ma:format="Dropdown" ma:internalName="Category" ma:readOnly="false">
      <xsd:simpleType>
        <xsd:restriction base="dms:Choice">
          <xsd:enumeration value="Closure Guidance"/>
          <xsd:enumeration value="CA Guidance"/>
          <xsd:enumeration value="ERAS Guidance"/>
          <xsd:enumeration value="Risk Guidance"/>
          <xsd:enumeration value="CPRG Review Guidance"/>
          <xsd:enumeration value="Vadose Zone Model Guidance"/>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order0" ma:index="16" nillable="true" ma:displayName="order" ma:internalName="order0">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40943-4753-4f9b-a2b3-8b5d259efe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der0 xmlns="252b6ee7-883f-47cc-9ef4-51084eb5a364" xsi:nil="true"/>
    <Category xmlns="252b6ee7-883f-47cc-9ef4-51084eb5a364" xsi:nil="true"/>
    <_x0032_nd_x0020_Level_x0020_Sub_x002d_Folder xmlns="252b6ee7-883f-47cc-9ef4-51084eb5a364" xsi:nil="true"/>
    <Main_x0020_Folder xmlns="252b6ee7-883f-47cc-9ef4-51084eb5a364" xsi:nil="true"/>
    <Sub_x002d_Folder xmlns="252b6ee7-883f-47cc-9ef4-51084eb5a364" xsi:nil="true"/>
  </documentManagement>
</p:properties>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DF26CD6B-2CBE-481C-B544-DB0374DC8EF7}"/>
</file>

<file path=customXml/itemProps2.xml><?xml version="1.0" encoding="utf-8"?>
<ds:datastoreItem xmlns:ds="http://schemas.openxmlformats.org/officeDocument/2006/customXml" ds:itemID="{0A252553-8629-4F4F-B32C-45B7DAF53A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E3F33E-24F2-4B12-8DB5-3CBB86F3C8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1748</Words>
  <Characters>9967</Characters>
  <Application>Microsoft Office Word</Application>
  <DocSecurity>0</DocSecurity>
  <Lines>83</Lines>
  <Paragraphs>23</Paragraphs>
  <ScaleCrop>false</ScaleCrop>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Sarah</dc:creator>
  <cp:keywords/>
  <dc:description/>
  <cp:lastModifiedBy>Beal, Sarah</cp:lastModifiedBy>
  <cp:revision>20</cp:revision>
  <dcterms:created xsi:type="dcterms:W3CDTF">2022-08-02T14:06:00Z</dcterms:created>
  <dcterms:modified xsi:type="dcterms:W3CDTF">2023-05-30T15:05:00Z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0x01010093149CC91B703A408300195853313740</vt:lpwstr>
  </property>
</Properties>
</file>