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C27552" w14:paraId="09DE0FD6" w14:textId="77777777" w:rsidTr="45B439B4">
        <w:tc>
          <w:tcPr>
            <w:tcW w:w="9350" w:type="dxa"/>
            <w:gridSpan w:val="2"/>
            <w:shd w:val="clear" w:color="auto" w:fill="D9D9D9" w:themeFill="background1" w:themeFillShade="D9"/>
          </w:tcPr>
          <w:p w14:paraId="20EEF29C" w14:textId="5C119BB9" w:rsidR="00C27552" w:rsidRPr="00702B30" w:rsidRDefault="003B2E7B" w:rsidP="00C7484E">
            <w:pPr>
              <w:rPr>
                <w:b/>
                <w:bCs/>
              </w:rPr>
            </w:pPr>
            <w:r>
              <w:rPr>
                <w:b/>
                <w:bCs/>
              </w:rPr>
              <w:t>4</w:t>
            </w:r>
            <w:r w:rsidR="00C27552" w:rsidRPr="00702B30">
              <w:rPr>
                <w:b/>
                <w:bCs/>
              </w:rPr>
              <w:t>.0   SVOC Data Validation</w:t>
            </w:r>
          </w:p>
        </w:tc>
      </w:tr>
      <w:tr w:rsidR="00C27552" w14:paraId="7F06C4E7" w14:textId="77777777" w:rsidTr="45B439B4">
        <w:trPr>
          <w:tblHeader/>
        </w:trPr>
        <w:tc>
          <w:tcPr>
            <w:tcW w:w="9350" w:type="dxa"/>
            <w:gridSpan w:val="2"/>
            <w:shd w:val="clear" w:color="auto" w:fill="D9D9D9" w:themeFill="background1" w:themeFillShade="D9"/>
          </w:tcPr>
          <w:p w14:paraId="27122AF5" w14:textId="709FCCD5" w:rsidR="00C27552" w:rsidRPr="00702B30" w:rsidRDefault="003B2E7B" w:rsidP="00C7484E">
            <w:pPr>
              <w:rPr>
                <w:b/>
                <w:bCs/>
              </w:rPr>
            </w:pPr>
            <w:r>
              <w:rPr>
                <w:b/>
                <w:bCs/>
              </w:rPr>
              <w:t>4</w:t>
            </w:r>
            <w:r w:rsidR="00C27552" w:rsidRPr="00702B30">
              <w:rPr>
                <w:b/>
                <w:bCs/>
              </w:rPr>
              <w:t>.1</w:t>
            </w:r>
            <w:r w:rsidR="00C27552" w:rsidRPr="00702B30">
              <w:rPr>
                <w:b/>
                <w:bCs/>
              </w:rPr>
              <w:tab/>
            </w:r>
            <w:r w:rsidR="00C27552" w:rsidRPr="006620B8">
              <w:rPr>
                <w:b/>
                <w:bCs/>
              </w:rPr>
              <w:t xml:space="preserve">Semi-Volatile Data Review - </w:t>
            </w:r>
            <w:r w:rsidR="00C27552" w:rsidRPr="00702B30">
              <w:rPr>
                <w:b/>
                <w:bCs/>
              </w:rPr>
              <w:t xml:space="preserve">Blank Data </w:t>
            </w:r>
          </w:p>
        </w:tc>
      </w:tr>
      <w:tr w:rsidR="00C27552" w14:paraId="49DEDE68" w14:textId="77777777" w:rsidTr="45B439B4">
        <w:tc>
          <w:tcPr>
            <w:tcW w:w="9350" w:type="dxa"/>
            <w:gridSpan w:val="2"/>
            <w:shd w:val="clear" w:color="auto" w:fill="D9D9D9" w:themeFill="background1" w:themeFillShade="D9"/>
          </w:tcPr>
          <w:p w14:paraId="289DD41B" w14:textId="651B93F9" w:rsidR="00C27552" w:rsidRPr="00702B30" w:rsidRDefault="00C27552" w:rsidP="00C7484E">
            <w:pPr>
              <w:rPr>
                <w:b/>
                <w:bCs/>
              </w:rPr>
            </w:pPr>
            <w:r w:rsidRPr="00702B30">
              <w:rPr>
                <w:b/>
                <w:bCs/>
              </w:rPr>
              <w:t>Blanks are used to assess whether contamination from the laboratory, reagents, or other samples exists and whether this contamination can bias sample results.  The qualification of sample results will depend upon the magnitude of blank contamination.</w:t>
            </w:r>
            <w:r>
              <w:rPr>
                <w:b/>
                <w:bCs/>
              </w:rPr>
              <w:t xml:space="preserve"> </w:t>
            </w:r>
          </w:p>
        </w:tc>
      </w:tr>
      <w:tr w:rsidR="00C27552" w14:paraId="7D38F7B7" w14:textId="77777777" w:rsidTr="45B439B4">
        <w:tc>
          <w:tcPr>
            <w:tcW w:w="4675" w:type="dxa"/>
            <w:shd w:val="clear" w:color="auto" w:fill="D9D9D9" w:themeFill="background1" w:themeFillShade="D9"/>
          </w:tcPr>
          <w:p w14:paraId="06072A61" w14:textId="410AA9A2" w:rsidR="00C27552" w:rsidRDefault="003B2E7B" w:rsidP="00C7484E">
            <w:r>
              <w:t>4</w:t>
            </w:r>
            <w:r w:rsidR="00C27552">
              <w:t>.1.1</w:t>
            </w:r>
            <w:r w:rsidR="00C27552">
              <w:tab/>
              <w:t>Is the method blank data present for each batch of approximately 20 samples (matrix and sample number dependent), including TCLP?</w:t>
            </w:r>
          </w:p>
          <w:p w14:paraId="5BF1829C" w14:textId="77777777" w:rsidR="00C27552" w:rsidRDefault="00C27552" w:rsidP="00C7484E"/>
          <w:p w14:paraId="5B2C7D6D" w14:textId="27E9AC9A" w:rsidR="00C27552" w:rsidRPr="00613F4E" w:rsidRDefault="00C27552" w:rsidP="00C7484E">
            <w:pPr>
              <w:rPr>
                <w:i/>
                <w:iCs/>
              </w:rPr>
            </w:pPr>
            <w:r w:rsidRPr="00613F4E">
              <w:rPr>
                <w:i/>
                <w:iCs/>
              </w:rPr>
              <w:t xml:space="preserve">Action: If not present, request information from the </w:t>
            </w:r>
            <w:r>
              <w:rPr>
                <w:i/>
                <w:iCs/>
              </w:rPr>
              <w:t>applicable party</w:t>
            </w:r>
            <w:r w:rsidRPr="00613F4E">
              <w:rPr>
                <w:i/>
                <w:iCs/>
              </w:rPr>
              <w:t xml:space="preserve"> or laboratory.  If the required method blank(s) was not analyzed, sample results may be qualified as estimated (“J” for </w:t>
            </w:r>
            <w:r w:rsidR="0DBF5F68" w:rsidRPr="5352CC54">
              <w:rPr>
                <w:i/>
                <w:iCs/>
              </w:rPr>
              <w:t xml:space="preserve">detected </w:t>
            </w:r>
            <w:r w:rsidRPr="00613F4E">
              <w:rPr>
                <w:i/>
                <w:iCs/>
              </w:rPr>
              <w:t xml:space="preserve">results and “UJ” for non-detected compounds) based upon the </w:t>
            </w:r>
            <w:r>
              <w:rPr>
                <w:i/>
                <w:iCs/>
              </w:rPr>
              <w:t>Data V</w:t>
            </w:r>
            <w:r w:rsidRPr="00613F4E">
              <w:rPr>
                <w:i/>
                <w:iCs/>
              </w:rPr>
              <w:t xml:space="preserve">alidator’s judgment.  </w:t>
            </w:r>
          </w:p>
        </w:tc>
        <w:tc>
          <w:tcPr>
            <w:tcW w:w="4675" w:type="dxa"/>
          </w:tcPr>
          <w:p w14:paraId="54D4A7DF" w14:textId="77777777" w:rsidR="00C27552" w:rsidRPr="003D7F79" w:rsidRDefault="00C27552" w:rsidP="00C7484E">
            <w:pPr>
              <w:rPr>
                <w:b/>
              </w:rPr>
            </w:pPr>
            <w:r w:rsidRPr="003D7F79">
              <w:rPr>
                <w:b/>
              </w:rPr>
              <w:t>Indicate yes or no:</w:t>
            </w:r>
          </w:p>
        </w:tc>
      </w:tr>
      <w:tr w:rsidR="00C27552" w14:paraId="482CCD6F" w14:textId="77777777" w:rsidTr="45B439B4">
        <w:tc>
          <w:tcPr>
            <w:tcW w:w="4675" w:type="dxa"/>
            <w:shd w:val="clear" w:color="auto" w:fill="D9D9D9" w:themeFill="background1" w:themeFillShade="D9"/>
          </w:tcPr>
          <w:p w14:paraId="7FA93C1E" w14:textId="2E6A1DC8" w:rsidR="00C27552" w:rsidRDefault="003B2E7B" w:rsidP="00C7484E">
            <w:r>
              <w:t>4</w:t>
            </w:r>
            <w:r w:rsidR="00C27552">
              <w:t>.1.</w:t>
            </w:r>
            <w:r w:rsidR="00FA787B">
              <w:t>2</w:t>
            </w:r>
            <w:r>
              <w:tab/>
            </w:r>
            <w:r w:rsidR="00C27552">
              <w:t xml:space="preserve">Is there an indication that samples in the batch associated with the blank were diluted? </w:t>
            </w:r>
          </w:p>
          <w:p w14:paraId="1A745020" w14:textId="77777777" w:rsidR="00C27552" w:rsidRDefault="00C27552" w:rsidP="00C7484E"/>
          <w:p w14:paraId="7B328D99" w14:textId="77777777" w:rsidR="00C27552" w:rsidRDefault="00C27552" w:rsidP="00C7484E">
            <w:pPr>
              <w:rPr>
                <w:b/>
                <w:bCs/>
              </w:rPr>
            </w:pPr>
            <w:r w:rsidRPr="00356687">
              <w:rPr>
                <w:b/>
                <w:bCs/>
              </w:rPr>
              <w:t>Note: The dilution factor can be found in the data report (a dilution factor of 1 indicates no dilution).</w:t>
            </w:r>
          </w:p>
          <w:p w14:paraId="5D6F2CB4" w14:textId="77777777" w:rsidR="00C27552" w:rsidRDefault="00C27552" w:rsidP="00C7484E">
            <w:pPr>
              <w:rPr>
                <w:b/>
                <w:bCs/>
              </w:rPr>
            </w:pPr>
          </w:p>
          <w:p w14:paraId="0D12D4A1" w14:textId="77777777" w:rsidR="00C27552" w:rsidRPr="004D5289" w:rsidRDefault="00C27552" w:rsidP="00C7484E">
            <w:pPr>
              <w:rPr>
                <w:i/>
              </w:rPr>
            </w:pPr>
            <w:r w:rsidRPr="004D5289">
              <w:rPr>
                <w:i/>
                <w:iCs/>
              </w:rPr>
              <w:t>Acton: If yes, identify dilution factors.</w:t>
            </w:r>
          </w:p>
        </w:tc>
        <w:tc>
          <w:tcPr>
            <w:tcW w:w="4675" w:type="dxa"/>
          </w:tcPr>
          <w:p w14:paraId="2673D2CC" w14:textId="77777777" w:rsidR="00C27552" w:rsidRPr="003D7F79" w:rsidRDefault="00C27552" w:rsidP="00C7484E">
            <w:pPr>
              <w:rPr>
                <w:b/>
              </w:rPr>
            </w:pPr>
            <w:r w:rsidRPr="003D7F79">
              <w:rPr>
                <w:b/>
              </w:rPr>
              <w:t>Indicate yes or no:</w:t>
            </w:r>
          </w:p>
          <w:p w14:paraId="446A9953" w14:textId="77777777" w:rsidR="00C27552" w:rsidRDefault="00C27552" w:rsidP="00C7484E"/>
          <w:p w14:paraId="4888EE5A" w14:textId="77777777" w:rsidR="00C27552" w:rsidRPr="003D7F79" w:rsidRDefault="00C27552" w:rsidP="00C7484E">
            <w:pPr>
              <w:rPr>
                <w:b/>
              </w:rPr>
            </w:pPr>
            <w:r w:rsidRPr="003D7F79">
              <w:rPr>
                <w:b/>
              </w:rPr>
              <w:t>If yes, list the dilution factor(s):</w:t>
            </w:r>
          </w:p>
        </w:tc>
      </w:tr>
      <w:tr w:rsidR="00C27552" w14:paraId="7EF91305" w14:textId="77777777" w:rsidTr="45B439B4">
        <w:tc>
          <w:tcPr>
            <w:tcW w:w="4675" w:type="dxa"/>
            <w:shd w:val="clear" w:color="auto" w:fill="D9D9D9" w:themeFill="background1" w:themeFillShade="D9"/>
          </w:tcPr>
          <w:p w14:paraId="79D1F3E3" w14:textId="243788B9" w:rsidR="00C27552" w:rsidRDefault="003B2E7B" w:rsidP="00C7484E">
            <w:r>
              <w:t>4</w:t>
            </w:r>
            <w:r w:rsidR="00C27552">
              <w:t>.1.</w:t>
            </w:r>
            <w:r w:rsidR="00FA787B">
              <w:t>3</w:t>
            </w:r>
            <w:r>
              <w:tab/>
            </w:r>
            <w:r w:rsidR="00C27552">
              <w:t>Do any method/field/trip/</w:t>
            </w:r>
            <w:proofErr w:type="spellStart"/>
            <w:r w:rsidR="00C27552">
              <w:t>rinsate</w:t>
            </w:r>
            <w:proofErr w:type="spellEnd"/>
            <w:r w:rsidR="00C27552">
              <w:t xml:space="preserve"> blanks have any positive results for any semi-volatile target analytes?  Were the same target compounds found in the samples?  </w:t>
            </w:r>
          </w:p>
          <w:p w14:paraId="06864022" w14:textId="77777777" w:rsidR="00C27552" w:rsidRDefault="00C27552" w:rsidP="00C7484E"/>
          <w:p w14:paraId="675704C8" w14:textId="77777777" w:rsidR="00C27552" w:rsidRPr="002061D2" w:rsidRDefault="00C27552" w:rsidP="00C7484E">
            <w:pPr>
              <w:rPr>
                <w:b/>
                <w:bCs/>
              </w:rPr>
            </w:pPr>
            <w:r w:rsidRPr="002061D2">
              <w:rPr>
                <w:b/>
                <w:bCs/>
              </w:rPr>
              <w:t>Note: A list of samples associated with each of the contaminated blanks should be prepared.  Field blank results should be used to qualify data.  Trip blanks are used to qualify samples based on potential contamination during shipment</w:t>
            </w:r>
            <w:r>
              <w:rPr>
                <w:b/>
                <w:bCs/>
              </w:rPr>
              <w:t xml:space="preserve"> </w:t>
            </w:r>
            <w:r w:rsidRPr="002061D2">
              <w:rPr>
                <w:b/>
                <w:bCs/>
              </w:rPr>
              <w:t xml:space="preserve">and are not required for non-aqueous matrices. </w:t>
            </w:r>
          </w:p>
          <w:p w14:paraId="105F61D9" w14:textId="77777777" w:rsidR="00C27552" w:rsidRDefault="00C27552" w:rsidP="00C7484E"/>
          <w:p w14:paraId="3639789B" w14:textId="36BB8CAE" w:rsidR="00C27552" w:rsidRPr="002061D2" w:rsidRDefault="00C27552" w:rsidP="00C7484E">
            <w:pPr>
              <w:rPr>
                <w:i/>
                <w:iCs/>
              </w:rPr>
            </w:pPr>
            <w:r w:rsidRPr="002061D2">
              <w:rPr>
                <w:i/>
                <w:iCs/>
              </w:rPr>
              <w:t xml:space="preserve">Action: </w:t>
            </w:r>
            <w:r w:rsidR="00D54026">
              <w:rPr>
                <w:i/>
                <w:iCs/>
              </w:rPr>
              <w:t>F</w:t>
            </w:r>
            <w:r w:rsidRPr="002061D2">
              <w:rPr>
                <w:i/>
                <w:iCs/>
              </w:rPr>
              <w:t xml:space="preserve">ollow the directions in </w:t>
            </w:r>
            <w:r w:rsidR="449B7EEC" w:rsidRPr="790C6BFE">
              <w:rPr>
                <w:i/>
                <w:iCs/>
              </w:rPr>
              <w:t>Table 4-1</w:t>
            </w:r>
            <w:r w:rsidRPr="002061D2">
              <w:rPr>
                <w:i/>
                <w:iCs/>
              </w:rPr>
              <w:t xml:space="preserve"> below to qualify sample results due to blank contamination.  Use the largest value from all</w:t>
            </w:r>
            <w:r w:rsidRPr="002061D2" w:rsidDel="00DA6B98">
              <w:rPr>
                <w:i/>
                <w:iCs/>
              </w:rPr>
              <w:t xml:space="preserve"> </w:t>
            </w:r>
            <w:r w:rsidRPr="002061D2">
              <w:rPr>
                <w:i/>
                <w:iCs/>
              </w:rPr>
              <w:t>the associated blanks.  If any blanks are grossly contaminated, all data associated may be qualified as “R,” based upon professional judgment and the project’s DQOs.</w:t>
            </w:r>
          </w:p>
        </w:tc>
        <w:tc>
          <w:tcPr>
            <w:tcW w:w="4675" w:type="dxa"/>
          </w:tcPr>
          <w:p w14:paraId="55D4A3AE" w14:textId="77777777" w:rsidR="00C27552" w:rsidRDefault="00C27552" w:rsidP="00C7484E">
            <w:pPr>
              <w:rPr>
                <w:b/>
              </w:rPr>
            </w:pPr>
            <w:r>
              <w:rPr>
                <w:b/>
              </w:rPr>
              <w:t>Indicate yes or no:</w:t>
            </w:r>
          </w:p>
          <w:p w14:paraId="59982E17" w14:textId="77777777" w:rsidR="00C27552" w:rsidRPr="006054C6" w:rsidRDefault="00C27552" w:rsidP="00C7484E">
            <w:pPr>
              <w:rPr>
                <w:bCs/>
              </w:rPr>
            </w:pPr>
          </w:p>
          <w:p w14:paraId="3E2D0711" w14:textId="77777777" w:rsidR="00C27552" w:rsidRPr="006054C6" w:rsidRDefault="00C27552" w:rsidP="00C7484E">
            <w:pPr>
              <w:rPr>
                <w:bCs/>
              </w:rPr>
            </w:pPr>
          </w:p>
          <w:p w14:paraId="1D8282F7" w14:textId="77777777" w:rsidR="00C27552" w:rsidRPr="00D54026" w:rsidRDefault="00C27552" w:rsidP="00C7484E">
            <w:pPr>
              <w:rPr>
                <w:bCs/>
              </w:rPr>
            </w:pPr>
            <w:r>
              <w:rPr>
                <w:b/>
              </w:rPr>
              <w:t>If yes, l</w:t>
            </w:r>
            <w:r w:rsidRPr="004D5289">
              <w:rPr>
                <w:b/>
              </w:rPr>
              <w:t>ist the semi-volatile target analytes that were found in both the blanks and the samples:</w:t>
            </w:r>
          </w:p>
          <w:p w14:paraId="603C15E0" w14:textId="77777777" w:rsidR="005C584E" w:rsidRPr="00D54026" w:rsidRDefault="005C584E" w:rsidP="00C7484E">
            <w:pPr>
              <w:rPr>
                <w:bCs/>
              </w:rPr>
            </w:pPr>
          </w:p>
          <w:p w14:paraId="796B85DB" w14:textId="77777777" w:rsidR="005C584E" w:rsidRPr="00D54026" w:rsidRDefault="005C584E" w:rsidP="00C7484E">
            <w:pPr>
              <w:rPr>
                <w:bCs/>
              </w:rPr>
            </w:pPr>
          </w:p>
          <w:p w14:paraId="6074E16E" w14:textId="2CFB1ABF" w:rsidR="00D54026" w:rsidRPr="004D5289" w:rsidRDefault="00D54026" w:rsidP="00C7484E">
            <w:pPr>
              <w:rPr>
                <w:b/>
              </w:rPr>
            </w:pPr>
            <w:r w:rsidRPr="00B32444">
              <w:rPr>
                <w:b/>
                <w:bCs/>
              </w:rPr>
              <w:t>Summarize sample result qualifications based on blank results</w:t>
            </w:r>
          </w:p>
        </w:tc>
      </w:tr>
    </w:tbl>
    <w:p w14:paraId="0BA85F54" w14:textId="77777777" w:rsidR="00C27552" w:rsidRDefault="00C27552" w:rsidP="00C27552">
      <w:pPr>
        <w:jc w:val="center"/>
      </w:pPr>
    </w:p>
    <w:tbl>
      <w:tblPr>
        <w:tblStyle w:val="TableGrid"/>
        <w:tblW w:w="0" w:type="auto"/>
        <w:tblLook w:val="04A0" w:firstRow="1" w:lastRow="0" w:firstColumn="1" w:lastColumn="0" w:noHBand="0" w:noVBand="1"/>
      </w:tblPr>
      <w:tblGrid>
        <w:gridCol w:w="3116"/>
        <w:gridCol w:w="3117"/>
        <w:gridCol w:w="3117"/>
      </w:tblGrid>
      <w:tr w:rsidR="00C27552" w:rsidRPr="007E056D" w14:paraId="0A406171" w14:textId="77777777" w:rsidTr="00C7484E">
        <w:trPr>
          <w:trHeight w:val="145"/>
          <w:tblHeader/>
        </w:trPr>
        <w:tc>
          <w:tcPr>
            <w:tcW w:w="9350" w:type="dxa"/>
            <w:gridSpan w:val="3"/>
            <w:shd w:val="clear" w:color="auto" w:fill="D9D9D9" w:themeFill="background1" w:themeFillShade="D9"/>
            <w:vAlign w:val="center"/>
          </w:tcPr>
          <w:p w14:paraId="555DCAF8" w14:textId="2987F72C" w:rsidR="00C27552" w:rsidRPr="000D1AB9" w:rsidRDefault="1ADF5E9E" w:rsidP="00C7484E">
            <w:pPr>
              <w:pStyle w:val="Default"/>
              <w:jc w:val="center"/>
              <w:rPr>
                <w:rFonts w:asciiTheme="minorHAnsi" w:hAnsiTheme="minorHAnsi" w:cstheme="minorBidi"/>
                <w:b/>
                <w:sz w:val="22"/>
                <w:szCs w:val="22"/>
              </w:rPr>
            </w:pPr>
            <w:r w:rsidRPr="790C6BFE">
              <w:rPr>
                <w:rFonts w:asciiTheme="minorHAnsi" w:hAnsiTheme="minorHAnsi" w:cstheme="minorBidi"/>
                <w:b/>
                <w:bCs/>
                <w:sz w:val="22"/>
                <w:szCs w:val="22"/>
              </w:rPr>
              <w:lastRenderedPageBreak/>
              <w:t xml:space="preserve">Table 4-1: </w:t>
            </w:r>
            <w:r w:rsidR="00C27552" w:rsidRPr="790C6BFE">
              <w:rPr>
                <w:rFonts w:asciiTheme="minorHAnsi" w:hAnsiTheme="minorHAnsi" w:cstheme="minorBidi"/>
                <w:b/>
                <w:sz w:val="22"/>
                <w:szCs w:val="22"/>
              </w:rPr>
              <w:t>Blank Actions for SVOC Analyses</w:t>
            </w:r>
          </w:p>
        </w:tc>
      </w:tr>
      <w:tr w:rsidR="00C27552" w:rsidRPr="007E056D" w14:paraId="4D763716" w14:textId="77777777" w:rsidTr="00C7484E">
        <w:trPr>
          <w:trHeight w:val="145"/>
          <w:tblHeader/>
        </w:trPr>
        <w:tc>
          <w:tcPr>
            <w:tcW w:w="9350" w:type="dxa"/>
            <w:gridSpan w:val="3"/>
            <w:shd w:val="clear" w:color="auto" w:fill="D9D9D9" w:themeFill="background1" w:themeFillShade="D9"/>
            <w:vAlign w:val="center"/>
          </w:tcPr>
          <w:p w14:paraId="62E6DB41" w14:textId="77777777" w:rsidR="00C27552" w:rsidRPr="007E056D" w:rsidRDefault="00C27552" w:rsidP="00C7484E">
            <w:pPr>
              <w:pStyle w:val="Default"/>
              <w:jc w:val="center"/>
              <w:rPr>
                <w:rFonts w:asciiTheme="minorHAnsi" w:hAnsiTheme="minorHAnsi" w:cstheme="minorHAnsi"/>
                <w:sz w:val="22"/>
                <w:szCs w:val="22"/>
              </w:rPr>
            </w:pPr>
            <w:r w:rsidRPr="007E056D">
              <w:rPr>
                <w:rFonts w:asciiTheme="minorHAnsi" w:hAnsiTheme="minorHAnsi" w:cstheme="minorHAnsi"/>
                <w:sz w:val="22"/>
                <w:szCs w:val="22"/>
              </w:rPr>
              <w:t>Qualification</w:t>
            </w:r>
          </w:p>
        </w:tc>
      </w:tr>
      <w:tr w:rsidR="00C27552" w:rsidRPr="00D45C7A" w14:paraId="0F3D2379" w14:textId="77777777" w:rsidTr="00C7484E">
        <w:trPr>
          <w:trHeight w:val="220"/>
        </w:trPr>
        <w:tc>
          <w:tcPr>
            <w:tcW w:w="3116" w:type="dxa"/>
          </w:tcPr>
          <w:p w14:paraId="4B2C251A" w14:textId="77777777" w:rsidR="00C27552" w:rsidRPr="00D45C7A" w:rsidRDefault="00C27552" w:rsidP="00C7484E">
            <w:pPr>
              <w:jc w:val="center"/>
            </w:pPr>
            <w:r>
              <w:t>Blank Result</w:t>
            </w:r>
          </w:p>
        </w:tc>
        <w:tc>
          <w:tcPr>
            <w:tcW w:w="3117" w:type="dxa"/>
          </w:tcPr>
          <w:p w14:paraId="779835AD" w14:textId="77777777" w:rsidR="00C27552" w:rsidRPr="00D45C7A" w:rsidRDefault="00C27552" w:rsidP="00C7484E">
            <w:pPr>
              <w:jc w:val="center"/>
            </w:pPr>
            <w:r>
              <w:t xml:space="preserve">Sample Result </w:t>
            </w:r>
          </w:p>
        </w:tc>
        <w:tc>
          <w:tcPr>
            <w:tcW w:w="3117" w:type="dxa"/>
          </w:tcPr>
          <w:p w14:paraId="255028E2" w14:textId="77777777" w:rsidR="00C27552" w:rsidRPr="00D45C7A" w:rsidRDefault="00C27552" w:rsidP="00C7484E">
            <w:pPr>
              <w:jc w:val="center"/>
            </w:pPr>
            <w:r>
              <w:t>Action</w:t>
            </w:r>
          </w:p>
        </w:tc>
      </w:tr>
      <w:tr w:rsidR="00C27552" w:rsidRPr="00D45C7A" w14:paraId="6DEFC93B" w14:textId="77777777" w:rsidTr="00C7484E">
        <w:trPr>
          <w:trHeight w:val="215"/>
        </w:trPr>
        <w:tc>
          <w:tcPr>
            <w:tcW w:w="3116" w:type="dxa"/>
          </w:tcPr>
          <w:p w14:paraId="3786835E" w14:textId="77777777" w:rsidR="00C27552" w:rsidRPr="00D45C7A" w:rsidRDefault="00C27552" w:rsidP="00C7484E">
            <w:pPr>
              <w:jc w:val="center"/>
            </w:pPr>
            <w:r>
              <w:t>Detection</w:t>
            </w:r>
          </w:p>
        </w:tc>
        <w:tc>
          <w:tcPr>
            <w:tcW w:w="3117" w:type="dxa"/>
          </w:tcPr>
          <w:p w14:paraId="3E6A7FA5" w14:textId="77777777" w:rsidR="00C27552" w:rsidRPr="00D45C7A" w:rsidRDefault="00C27552" w:rsidP="00C7484E">
            <w:pPr>
              <w:jc w:val="center"/>
            </w:pPr>
            <w:r>
              <w:t>Non-detect</w:t>
            </w:r>
          </w:p>
        </w:tc>
        <w:tc>
          <w:tcPr>
            <w:tcW w:w="3117" w:type="dxa"/>
          </w:tcPr>
          <w:p w14:paraId="16AFB642" w14:textId="77777777" w:rsidR="00C27552" w:rsidRPr="00D45C7A" w:rsidRDefault="00C27552" w:rsidP="00C7484E">
            <w:pPr>
              <w:jc w:val="center"/>
            </w:pPr>
            <w:r>
              <w:t>No Action</w:t>
            </w:r>
          </w:p>
        </w:tc>
      </w:tr>
      <w:tr w:rsidR="00C27552" w14:paraId="4DF40BBF" w14:textId="77777777" w:rsidTr="00C7484E">
        <w:trPr>
          <w:trHeight w:val="215"/>
        </w:trPr>
        <w:tc>
          <w:tcPr>
            <w:tcW w:w="3116" w:type="dxa"/>
            <w:vAlign w:val="center"/>
          </w:tcPr>
          <w:p w14:paraId="2307D2AC" w14:textId="77777777" w:rsidR="00C27552" w:rsidRDefault="00C27552" w:rsidP="00C7484E">
            <w:pPr>
              <w:jc w:val="center"/>
            </w:pPr>
            <w:r>
              <w:t>&lt; QL</w:t>
            </w:r>
          </w:p>
        </w:tc>
        <w:tc>
          <w:tcPr>
            <w:tcW w:w="3117" w:type="dxa"/>
          </w:tcPr>
          <w:p w14:paraId="7E29DC3C" w14:textId="77777777" w:rsidR="00C27552" w:rsidRDefault="00C27552" w:rsidP="00C7484E">
            <w:pPr>
              <w:jc w:val="center"/>
            </w:pPr>
            <w:r>
              <w:t>&lt; QL</w:t>
            </w:r>
          </w:p>
        </w:tc>
        <w:tc>
          <w:tcPr>
            <w:tcW w:w="3117" w:type="dxa"/>
            <w:vAlign w:val="center"/>
          </w:tcPr>
          <w:p w14:paraId="26F2DC24" w14:textId="3B1E85E3" w:rsidR="00C27552" w:rsidRDefault="007F3BAC" w:rsidP="00C7484E">
            <w:pPr>
              <w:jc w:val="center"/>
            </w:pPr>
            <w:r>
              <w:t xml:space="preserve">Report at QL and qualify </w:t>
            </w:r>
            <w:r w:rsidR="00C27552">
              <w:t>U</w:t>
            </w:r>
          </w:p>
        </w:tc>
      </w:tr>
      <w:tr w:rsidR="00C27552" w:rsidRPr="00D45C7A" w14:paraId="1771EC0E" w14:textId="77777777" w:rsidTr="00C7484E">
        <w:trPr>
          <w:trHeight w:val="215"/>
        </w:trPr>
        <w:tc>
          <w:tcPr>
            <w:tcW w:w="3116" w:type="dxa"/>
            <w:vAlign w:val="center"/>
          </w:tcPr>
          <w:p w14:paraId="267380D8" w14:textId="77777777" w:rsidR="00C27552" w:rsidRPr="00D45C7A" w:rsidRDefault="00C27552" w:rsidP="00C7484E">
            <w:pPr>
              <w:jc w:val="center"/>
            </w:pPr>
            <w:r>
              <w:t>&lt; QL</w:t>
            </w:r>
          </w:p>
        </w:tc>
        <w:tc>
          <w:tcPr>
            <w:tcW w:w="3117" w:type="dxa"/>
          </w:tcPr>
          <w:p w14:paraId="3822ABDF" w14:textId="77777777" w:rsidR="00C27552" w:rsidRPr="00D45C7A" w:rsidRDefault="00C27552" w:rsidP="00C7484E">
            <w:pPr>
              <w:jc w:val="center"/>
            </w:pPr>
            <w:r>
              <w:t>≥ QL but &lt; 2x Blank Result for common laboratory contaminants</w:t>
            </w:r>
          </w:p>
        </w:tc>
        <w:tc>
          <w:tcPr>
            <w:tcW w:w="3117" w:type="dxa"/>
            <w:vAlign w:val="center"/>
          </w:tcPr>
          <w:p w14:paraId="252855D7" w14:textId="2D8F54E5" w:rsidR="00C27552" w:rsidRPr="00D45C7A" w:rsidRDefault="007F3BAC" w:rsidP="00C7484E">
            <w:pPr>
              <w:jc w:val="center"/>
            </w:pPr>
            <w:r>
              <w:t xml:space="preserve">Report at QL and qualify </w:t>
            </w:r>
            <w:r w:rsidR="00C27552">
              <w:t>U</w:t>
            </w:r>
          </w:p>
        </w:tc>
      </w:tr>
      <w:tr w:rsidR="00C27552" w:rsidRPr="00D45C7A" w14:paraId="428D9E52" w14:textId="77777777" w:rsidTr="00C7484E">
        <w:trPr>
          <w:trHeight w:val="215"/>
        </w:trPr>
        <w:tc>
          <w:tcPr>
            <w:tcW w:w="3116" w:type="dxa"/>
            <w:vAlign w:val="center"/>
          </w:tcPr>
          <w:p w14:paraId="08798B7D" w14:textId="77777777" w:rsidR="00C27552" w:rsidRPr="00D45C7A" w:rsidRDefault="00C27552" w:rsidP="00C7484E">
            <w:pPr>
              <w:jc w:val="center"/>
            </w:pPr>
            <w:r>
              <w:t>&lt; QL</w:t>
            </w:r>
          </w:p>
        </w:tc>
        <w:tc>
          <w:tcPr>
            <w:tcW w:w="3117" w:type="dxa"/>
          </w:tcPr>
          <w:p w14:paraId="39E8E8F1" w14:textId="77777777" w:rsidR="00C27552" w:rsidRPr="00D45C7A" w:rsidRDefault="00C27552" w:rsidP="00C7484E">
            <w:pPr>
              <w:jc w:val="center"/>
            </w:pPr>
            <w:r>
              <w:t>≥ QL (≥ 2x Blank Result for common laboratory contaminants)</w:t>
            </w:r>
          </w:p>
        </w:tc>
        <w:tc>
          <w:tcPr>
            <w:tcW w:w="3117" w:type="dxa"/>
            <w:vAlign w:val="center"/>
          </w:tcPr>
          <w:p w14:paraId="373D37AC" w14:textId="134ED46C" w:rsidR="00C27552" w:rsidRPr="00D45C7A" w:rsidRDefault="00B316CA" w:rsidP="00C7484E">
            <w:pPr>
              <w:jc w:val="center"/>
            </w:pPr>
            <w:r>
              <w:t xml:space="preserve">Report at sample result and qualify </w:t>
            </w:r>
            <w:r w:rsidR="00C27552">
              <w:t>J</w:t>
            </w:r>
            <w:r>
              <w:t>+</w:t>
            </w:r>
          </w:p>
        </w:tc>
      </w:tr>
      <w:tr w:rsidR="00C27552" w:rsidRPr="00D45C7A" w14:paraId="54702938" w14:textId="77777777" w:rsidTr="00C7484E">
        <w:trPr>
          <w:trHeight w:val="215"/>
        </w:trPr>
        <w:tc>
          <w:tcPr>
            <w:tcW w:w="3116" w:type="dxa"/>
          </w:tcPr>
          <w:p w14:paraId="4DFF8BA7" w14:textId="77777777" w:rsidR="00C27552" w:rsidRPr="00D45C7A" w:rsidRDefault="00C27552" w:rsidP="00C7484E">
            <w:pPr>
              <w:jc w:val="center"/>
            </w:pPr>
            <w:r>
              <w:rPr>
                <w:rFonts w:cstheme="minorHAnsi"/>
              </w:rPr>
              <w:t>≥</w:t>
            </w:r>
            <w:r>
              <w:t xml:space="preserve"> QL</w:t>
            </w:r>
          </w:p>
        </w:tc>
        <w:tc>
          <w:tcPr>
            <w:tcW w:w="3117" w:type="dxa"/>
          </w:tcPr>
          <w:p w14:paraId="5F9D53AB" w14:textId="77777777" w:rsidR="00C27552" w:rsidRPr="00D45C7A" w:rsidRDefault="00C27552" w:rsidP="00C7484E">
            <w:pPr>
              <w:jc w:val="center"/>
            </w:pPr>
            <w:r>
              <w:t>&lt; QL</w:t>
            </w:r>
          </w:p>
        </w:tc>
        <w:tc>
          <w:tcPr>
            <w:tcW w:w="3117" w:type="dxa"/>
          </w:tcPr>
          <w:p w14:paraId="319FA455" w14:textId="7DEAD115" w:rsidR="00C27552" w:rsidRPr="00D45C7A" w:rsidRDefault="007F3BAC" w:rsidP="00C7484E">
            <w:pPr>
              <w:jc w:val="center"/>
            </w:pPr>
            <w:r>
              <w:t xml:space="preserve">Report at QL and qualify </w:t>
            </w:r>
            <w:r w:rsidR="00C27552">
              <w:t>U</w:t>
            </w:r>
          </w:p>
        </w:tc>
      </w:tr>
      <w:tr w:rsidR="00C27552" w:rsidRPr="00D45C7A" w14:paraId="1F894369" w14:textId="77777777" w:rsidTr="00C7484E">
        <w:trPr>
          <w:trHeight w:val="215"/>
        </w:trPr>
        <w:tc>
          <w:tcPr>
            <w:tcW w:w="3116" w:type="dxa"/>
          </w:tcPr>
          <w:p w14:paraId="6DEA291A" w14:textId="77777777" w:rsidR="00C27552" w:rsidRPr="00D45C7A" w:rsidRDefault="00C27552" w:rsidP="00C7484E">
            <w:pPr>
              <w:jc w:val="center"/>
            </w:pPr>
            <w:r>
              <w:rPr>
                <w:rFonts w:cstheme="minorHAnsi"/>
              </w:rPr>
              <w:t>≥</w:t>
            </w:r>
            <w:r>
              <w:t xml:space="preserve"> QL</w:t>
            </w:r>
          </w:p>
        </w:tc>
        <w:tc>
          <w:tcPr>
            <w:tcW w:w="3117" w:type="dxa"/>
          </w:tcPr>
          <w:p w14:paraId="4B37A987" w14:textId="77777777" w:rsidR="00C27552" w:rsidRPr="00D45C7A" w:rsidRDefault="00C27552" w:rsidP="00C7484E">
            <w:pPr>
              <w:jc w:val="center"/>
            </w:pPr>
            <w:r>
              <w:t>≥ QL but &lt; Blank Result</w:t>
            </w:r>
          </w:p>
        </w:tc>
        <w:tc>
          <w:tcPr>
            <w:tcW w:w="3117" w:type="dxa"/>
            <w:vAlign w:val="center"/>
          </w:tcPr>
          <w:p w14:paraId="316F8D37" w14:textId="079F8467" w:rsidR="00C27552" w:rsidRPr="00D45C7A" w:rsidRDefault="00B316CA" w:rsidP="00C7484E">
            <w:pPr>
              <w:jc w:val="center"/>
            </w:pPr>
            <w:r>
              <w:t xml:space="preserve">Report at sample result and qualify </w:t>
            </w:r>
            <w:r w:rsidR="00C27552">
              <w:t>U</w:t>
            </w:r>
          </w:p>
        </w:tc>
      </w:tr>
      <w:tr w:rsidR="00C27552" w:rsidRPr="00D45C7A" w14:paraId="2FC2F0D6" w14:textId="77777777" w:rsidTr="00C7484E">
        <w:trPr>
          <w:trHeight w:val="215"/>
        </w:trPr>
        <w:tc>
          <w:tcPr>
            <w:tcW w:w="3116" w:type="dxa"/>
            <w:vAlign w:val="center"/>
          </w:tcPr>
          <w:p w14:paraId="6FEBD11C" w14:textId="77777777" w:rsidR="00C27552" w:rsidRPr="00D45C7A" w:rsidRDefault="00C27552" w:rsidP="00C7484E">
            <w:pPr>
              <w:jc w:val="center"/>
            </w:pPr>
            <w:r>
              <w:rPr>
                <w:rFonts w:cstheme="minorHAnsi"/>
              </w:rPr>
              <w:t>≥</w:t>
            </w:r>
            <w:r>
              <w:t>QL</w:t>
            </w:r>
          </w:p>
        </w:tc>
        <w:tc>
          <w:tcPr>
            <w:tcW w:w="3117" w:type="dxa"/>
          </w:tcPr>
          <w:p w14:paraId="44C20154" w14:textId="77777777" w:rsidR="00C27552" w:rsidRPr="00D45C7A" w:rsidRDefault="00C27552" w:rsidP="00C7484E">
            <w:pPr>
              <w:jc w:val="center"/>
            </w:pPr>
            <w:r>
              <w:t>≥ QL and ≥ Blank Result or 2x Blank Result for common laboratory contaminants</w:t>
            </w:r>
          </w:p>
        </w:tc>
        <w:tc>
          <w:tcPr>
            <w:tcW w:w="3117" w:type="dxa"/>
            <w:vAlign w:val="center"/>
          </w:tcPr>
          <w:p w14:paraId="61B9CB8E" w14:textId="5E9FB437" w:rsidR="00C27552" w:rsidRPr="00D45C7A" w:rsidRDefault="00B316CA" w:rsidP="00C7484E">
            <w:pPr>
              <w:jc w:val="center"/>
            </w:pPr>
            <w:r>
              <w:t xml:space="preserve">Report at sample result and qualify </w:t>
            </w:r>
            <w:r w:rsidR="00C27552">
              <w:t>J</w:t>
            </w:r>
            <w:r>
              <w:t>+</w:t>
            </w:r>
          </w:p>
        </w:tc>
      </w:tr>
      <w:tr w:rsidR="00AD6DCE" w:rsidRPr="00D45C7A" w14:paraId="72FB578A" w14:textId="77777777" w:rsidTr="00C7484E">
        <w:trPr>
          <w:trHeight w:val="215"/>
        </w:trPr>
        <w:tc>
          <w:tcPr>
            <w:tcW w:w="3116" w:type="dxa"/>
            <w:vAlign w:val="center"/>
          </w:tcPr>
          <w:p w14:paraId="05E2A021" w14:textId="17C42A31" w:rsidR="00AD6DCE" w:rsidRDefault="00AD6DCE" w:rsidP="00C7484E">
            <w:pPr>
              <w:jc w:val="center"/>
              <w:rPr>
                <w:rFonts w:cstheme="minorHAnsi"/>
              </w:rPr>
            </w:pPr>
            <w:r>
              <w:rPr>
                <w:rFonts w:cstheme="minorHAnsi"/>
              </w:rPr>
              <w:t>Gross contamination*</w:t>
            </w:r>
          </w:p>
        </w:tc>
        <w:tc>
          <w:tcPr>
            <w:tcW w:w="3117" w:type="dxa"/>
          </w:tcPr>
          <w:p w14:paraId="6225C5FD" w14:textId="35BCF6A2" w:rsidR="00AD6DCE" w:rsidRDefault="000C2718" w:rsidP="00C7484E">
            <w:pPr>
              <w:jc w:val="center"/>
            </w:pPr>
            <w:r>
              <w:t>Detection</w:t>
            </w:r>
          </w:p>
        </w:tc>
        <w:tc>
          <w:tcPr>
            <w:tcW w:w="3117" w:type="dxa"/>
            <w:vAlign w:val="center"/>
          </w:tcPr>
          <w:p w14:paraId="5E2956FF" w14:textId="3FB673C9" w:rsidR="00AD6DCE" w:rsidRDefault="00CE12A4" w:rsidP="00C7484E">
            <w:pPr>
              <w:jc w:val="center"/>
            </w:pPr>
            <w:r>
              <w:t>Report at sample result and qualify R</w:t>
            </w:r>
          </w:p>
        </w:tc>
      </w:tr>
    </w:tbl>
    <w:p w14:paraId="649E0AF2" w14:textId="4EB7C543" w:rsidR="00C27552" w:rsidRDefault="000C2718" w:rsidP="00C27552">
      <w:r>
        <w:t>* Gross contamination is when blank results are greater than the initial calibration high-point standard concentration.</w:t>
      </w:r>
    </w:p>
    <w:tbl>
      <w:tblPr>
        <w:tblStyle w:val="TableGrid"/>
        <w:tblW w:w="10074" w:type="dxa"/>
        <w:tblLook w:val="04A0" w:firstRow="1" w:lastRow="0" w:firstColumn="1" w:lastColumn="0" w:noHBand="0" w:noVBand="1"/>
      </w:tblPr>
      <w:tblGrid>
        <w:gridCol w:w="5395"/>
        <w:gridCol w:w="4679"/>
      </w:tblGrid>
      <w:tr w:rsidR="00C27552" w14:paraId="6C706222" w14:textId="77777777" w:rsidTr="04C4022F">
        <w:trPr>
          <w:tblHeader/>
        </w:trPr>
        <w:tc>
          <w:tcPr>
            <w:tcW w:w="10074" w:type="dxa"/>
            <w:gridSpan w:val="2"/>
            <w:shd w:val="clear" w:color="auto" w:fill="D9D9D9" w:themeFill="background1" w:themeFillShade="D9"/>
          </w:tcPr>
          <w:p w14:paraId="1E16D183" w14:textId="2056E47E" w:rsidR="00C27552" w:rsidRPr="006620B8" w:rsidRDefault="003B2E7B" w:rsidP="00C7484E">
            <w:pPr>
              <w:rPr>
                <w:b/>
                <w:bCs/>
              </w:rPr>
            </w:pPr>
            <w:r>
              <w:rPr>
                <w:b/>
                <w:bCs/>
              </w:rPr>
              <w:t>4</w:t>
            </w:r>
            <w:r w:rsidR="00C27552" w:rsidRPr="006620B8">
              <w:rPr>
                <w:b/>
                <w:bCs/>
              </w:rPr>
              <w:t>.2</w:t>
            </w:r>
            <w:r w:rsidR="00C27552">
              <w:rPr>
                <w:b/>
                <w:bCs/>
              </w:rPr>
              <w:tab/>
            </w:r>
            <w:r w:rsidR="00C27552" w:rsidRPr="006620B8">
              <w:rPr>
                <w:b/>
                <w:bCs/>
              </w:rPr>
              <w:t>Semi-Volatile Data Review - Laboratory Control Sample (LCS)</w:t>
            </w:r>
          </w:p>
        </w:tc>
      </w:tr>
      <w:tr w:rsidR="00C27552" w14:paraId="58270293" w14:textId="77777777" w:rsidTr="04C4022F">
        <w:tc>
          <w:tcPr>
            <w:tcW w:w="10074" w:type="dxa"/>
            <w:gridSpan w:val="2"/>
            <w:shd w:val="clear" w:color="auto" w:fill="D9D9D9" w:themeFill="background1" w:themeFillShade="D9"/>
          </w:tcPr>
          <w:p w14:paraId="2E71A07F" w14:textId="77777777" w:rsidR="00C27552" w:rsidRPr="006620B8" w:rsidRDefault="00C27552" w:rsidP="00C7484E">
            <w:pPr>
              <w:rPr>
                <w:b/>
                <w:bCs/>
              </w:rPr>
            </w:pPr>
            <w:r w:rsidRPr="006620B8">
              <w:rPr>
                <w:b/>
                <w:bCs/>
              </w:rPr>
              <w:t xml:space="preserve">An LCS should be included with each batch of samples (approx. 20).  The LCS consists of an aliquot of a clean (control) matrix </w:t>
            </w:r>
            <w:proofErr w:type="gramStart"/>
            <w:r w:rsidRPr="006620B8">
              <w:rPr>
                <w:b/>
                <w:bCs/>
              </w:rPr>
              <w:t>similar to</w:t>
            </w:r>
            <w:proofErr w:type="gramEnd"/>
            <w:r w:rsidRPr="006620B8">
              <w:rPr>
                <w:b/>
                <w:bCs/>
              </w:rPr>
              <w:t xml:space="preserve"> the matrix type of the sample and at the same weight or volume.  The LCS is spiked with the same analytes at the same concentration as the matrix spike.  When the results of the matrix spike indicate a potential problem due to the sample matrix itself, the LCS verifies that the laboratory can perform analyses in a clean matrix.</w:t>
            </w:r>
          </w:p>
        </w:tc>
      </w:tr>
      <w:tr w:rsidR="00C27552" w14:paraId="1411AB1A" w14:textId="77777777" w:rsidTr="04C4022F">
        <w:tc>
          <w:tcPr>
            <w:tcW w:w="5395" w:type="dxa"/>
            <w:shd w:val="clear" w:color="auto" w:fill="D9D9D9" w:themeFill="background1" w:themeFillShade="D9"/>
          </w:tcPr>
          <w:p w14:paraId="6B9AA475" w14:textId="4E2BD78C" w:rsidR="00C27552" w:rsidRDefault="003B2E7B" w:rsidP="00C7484E">
            <w:r>
              <w:t>4</w:t>
            </w:r>
            <w:r w:rsidR="00C27552">
              <w:t>.2.1</w:t>
            </w:r>
            <w:r w:rsidR="00C27552">
              <w:tab/>
              <w:t>Was an LCS prepared, extracted, analyzed, and reported once per batch of 20 samples?</w:t>
            </w:r>
          </w:p>
          <w:p w14:paraId="26A3FB4A" w14:textId="77777777" w:rsidR="00C27552" w:rsidRDefault="00C27552" w:rsidP="00C7484E"/>
          <w:p w14:paraId="7BEC172D" w14:textId="77777777" w:rsidR="00C27552" w:rsidRDefault="00C27552" w:rsidP="00C7484E"/>
          <w:p w14:paraId="2B421CA0" w14:textId="77777777" w:rsidR="00C27552" w:rsidRPr="00937A9F" w:rsidRDefault="00C27552" w:rsidP="00C7484E">
            <w:pPr>
              <w:rPr>
                <w:i/>
                <w:iCs/>
              </w:rPr>
            </w:pPr>
            <w:r w:rsidRPr="00937A9F">
              <w:rPr>
                <w:i/>
                <w:iCs/>
              </w:rPr>
              <w:t xml:space="preserve">Action: If LCS information is not present, consult the </w:t>
            </w:r>
            <w:r>
              <w:rPr>
                <w:i/>
                <w:iCs/>
              </w:rPr>
              <w:t>applicable party</w:t>
            </w:r>
            <w:r w:rsidRPr="00937A9F">
              <w:rPr>
                <w:i/>
                <w:iCs/>
              </w:rPr>
              <w:t xml:space="preserve"> or laboratory for re-submission of the data package. If LCS information is not available, qualify all </w:t>
            </w:r>
            <w:r>
              <w:rPr>
                <w:i/>
                <w:iCs/>
              </w:rPr>
              <w:t>detected</w:t>
            </w:r>
            <w:r w:rsidRPr="00937A9F">
              <w:rPr>
                <w:i/>
                <w:iCs/>
              </w:rPr>
              <w:t xml:space="preserve"> results as “J”</w:t>
            </w:r>
            <w:r>
              <w:rPr>
                <w:i/>
                <w:iCs/>
              </w:rPr>
              <w:t xml:space="preserve"> and all non-detect results as “UJ” or</w:t>
            </w:r>
            <w:r w:rsidRPr="00937A9F">
              <w:rPr>
                <w:i/>
                <w:iCs/>
              </w:rPr>
              <w:t xml:space="preserve"> reject all results based on best professional judgment.</w:t>
            </w:r>
          </w:p>
        </w:tc>
        <w:tc>
          <w:tcPr>
            <w:tcW w:w="4675" w:type="dxa"/>
          </w:tcPr>
          <w:p w14:paraId="2250E298" w14:textId="77777777" w:rsidR="00C27552" w:rsidRPr="008B57EC" w:rsidRDefault="00C27552" w:rsidP="00C7484E">
            <w:pPr>
              <w:rPr>
                <w:b/>
                <w:bCs/>
              </w:rPr>
            </w:pPr>
            <w:r w:rsidRPr="008B57EC">
              <w:rPr>
                <w:b/>
                <w:bCs/>
              </w:rPr>
              <w:t>Indicate yes or no:</w:t>
            </w:r>
          </w:p>
        </w:tc>
      </w:tr>
      <w:tr w:rsidR="00C27552" w14:paraId="02CBF00D" w14:textId="77777777" w:rsidTr="04C4022F">
        <w:tc>
          <w:tcPr>
            <w:tcW w:w="5395" w:type="dxa"/>
            <w:shd w:val="clear" w:color="auto" w:fill="D9D9D9" w:themeFill="background1" w:themeFillShade="D9"/>
          </w:tcPr>
          <w:p w14:paraId="04DDBBAC" w14:textId="6CB836C6" w:rsidR="00C27552" w:rsidRDefault="008C42EA" w:rsidP="00C7484E">
            <w:r>
              <w:t>4</w:t>
            </w:r>
            <w:r w:rsidR="00C27552">
              <w:t>.2.2</w:t>
            </w:r>
            <w:r w:rsidR="00C27552">
              <w:tab/>
              <w:t>Does the LCS contain the following semi-volatile target compounds in addition to the required surrogates?</w:t>
            </w:r>
          </w:p>
          <w:p w14:paraId="497563F1" w14:textId="77777777" w:rsidR="00C27552" w:rsidRDefault="00C27552" w:rsidP="00C7484E"/>
          <w:p w14:paraId="3787DFB4" w14:textId="77777777" w:rsidR="00C27552" w:rsidRDefault="00C27552" w:rsidP="00C7484E">
            <w:r w:rsidRPr="214D373C">
              <w:rPr>
                <w:u w:val="single"/>
              </w:rPr>
              <w:t>Base/Neutrals</w:t>
            </w:r>
            <w:r>
              <w:tab/>
            </w:r>
            <w:r>
              <w:tab/>
            </w:r>
            <w:r>
              <w:tab/>
            </w:r>
            <w:r w:rsidRPr="214D373C">
              <w:rPr>
                <w:u w:val="single"/>
              </w:rPr>
              <w:t>Acids</w:t>
            </w:r>
          </w:p>
          <w:p w14:paraId="729DDD58" w14:textId="77777777" w:rsidR="00C27552" w:rsidRDefault="00C27552" w:rsidP="00C7484E">
            <w:r>
              <w:t>1,2,4-Trichlorobenzene</w:t>
            </w:r>
            <w:r>
              <w:tab/>
            </w:r>
            <w:r>
              <w:tab/>
            </w:r>
            <w:r w:rsidRPr="00872446">
              <w:t>Pentachlorophenol</w:t>
            </w:r>
          </w:p>
          <w:p w14:paraId="2D417AD2" w14:textId="77777777" w:rsidR="00C27552" w:rsidRDefault="00C27552" w:rsidP="00C7484E">
            <w:r>
              <w:t>Acenaphthene</w:t>
            </w:r>
            <w:r>
              <w:tab/>
            </w:r>
            <w:r>
              <w:tab/>
            </w:r>
            <w:r>
              <w:tab/>
              <w:t>Phenol</w:t>
            </w:r>
          </w:p>
          <w:p w14:paraId="44119BE3" w14:textId="77777777" w:rsidR="00C27552" w:rsidRDefault="00C27552" w:rsidP="00C7484E">
            <w:r>
              <w:t>2,4-Dinitrotoluene</w:t>
            </w:r>
            <w:r>
              <w:tab/>
            </w:r>
            <w:r>
              <w:tab/>
              <w:t>2-Chlorophenol</w:t>
            </w:r>
          </w:p>
          <w:p w14:paraId="729625E2" w14:textId="77777777" w:rsidR="00C27552" w:rsidRDefault="00C27552" w:rsidP="00C7484E">
            <w:r>
              <w:t>Pyrene</w:t>
            </w:r>
            <w:r>
              <w:tab/>
            </w:r>
            <w:r>
              <w:tab/>
            </w:r>
            <w:r>
              <w:tab/>
            </w:r>
            <w:r>
              <w:tab/>
              <w:t>4-Chloro-3-methylphenol</w:t>
            </w:r>
          </w:p>
          <w:p w14:paraId="053847D1" w14:textId="77777777" w:rsidR="00C27552" w:rsidRDefault="00C27552" w:rsidP="00C7484E">
            <w:r>
              <w:t>N-Nitroso-di-n-propylamine</w:t>
            </w:r>
            <w:r>
              <w:tab/>
              <w:t>4-Nitrophenol</w:t>
            </w:r>
          </w:p>
          <w:p w14:paraId="5B27C204" w14:textId="77777777" w:rsidR="00C27552" w:rsidRDefault="00C27552" w:rsidP="00C7484E">
            <w:r>
              <w:lastRenderedPageBreak/>
              <w:t>1,4-Dichlorobenzene</w:t>
            </w:r>
          </w:p>
          <w:p w14:paraId="1F4AE9EC" w14:textId="77777777" w:rsidR="00C27552" w:rsidRDefault="00C27552" w:rsidP="00C7484E"/>
          <w:p w14:paraId="17FCCDBE" w14:textId="77777777" w:rsidR="00C27552" w:rsidRDefault="00C27552" w:rsidP="00C7484E">
            <w:pPr>
              <w:rPr>
                <w:b/>
                <w:bCs/>
              </w:rPr>
            </w:pPr>
            <w:r w:rsidRPr="214D373C">
              <w:rPr>
                <w:b/>
                <w:bCs/>
              </w:rPr>
              <w:t xml:space="preserve">Note: Method </w:t>
            </w:r>
            <w:r>
              <w:rPr>
                <w:b/>
                <w:bCs/>
              </w:rPr>
              <w:t>3500C</w:t>
            </w:r>
            <w:r w:rsidRPr="214D373C">
              <w:rPr>
                <w:b/>
                <w:bCs/>
              </w:rPr>
              <w:t xml:space="preserve"> calls for base/neutral compounds to be spiked at 100 </w:t>
            </w:r>
            <w:r>
              <w:rPr>
                <w:b/>
                <w:bCs/>
              </w:rPr>
              <w:t>m</w:t>
            </w:r>
            <w:r w:rsidRPr="214D373C">
              <w:rPr>
                <w:b/>
                <w:bCs/>
              </w:rPr>
              <w:t xml:space="preserve">g/L and acid compounds to be spiked at 200 </w:t>
            </w:r>
            <w:r>
              <w:rPr>
                <w:b/>
                <w:bCs/>
              </w:rPr>
              <w:t>m</w:t>
            </w:r>
            <w:r w:rsidRPr="214D373C">
              <w:rPr>
                <w:b/>
                <w:bCs/>
              </w:rPr>
              <w:t>g/L.  However, for waste samples the concentration should be 5 times higher.  Other compounds can be spiked into the LCS; however, these compounds should represent the entire range of target analytes.  In addition, the compounds in the LCS should be consistent with the compounds included in the matrix spike/matrix spike duplicate.</w:t>
            </w:r>
          </w:p>
          <w:p w14:paraId="586D9EAE" w14:textId="77777777" w:rsidR="00C27552" w:rsidRDefault="00C27552" w:rsidP="00C7484E">
            <w:pPr>
              <w:rPr>
                <w:b/>
                <w:bCs/>
              </w:rPr>
            </w:pPr>
          </w:p>
          <w:p w14:paraId="006D5CF2" w14:textId="77777777" w:rsidR="00C27552" w:rsidRPr="002F50EA" w:rsidRDefault="00C27552" w:rsidP="00C7484E">
            <w:pPr>
              <w:rPr>
                <w:i/>
              </w:rPr>
            </w:pPr>
            <w:r w:rsidRPr="002F50EA">
              <w:rPr>
                <w:i/>
                <w:iCs/>
              </w:rPr>
              <w:t>Action: If yes, indicate which target compounds were present.</w:t>
            </w:r>
          </w:p>
        </w:tc>
        <w:tc>
          <w:tcPr>
            <w:tcW w:w="4675" w:type="dxa"/>
          </w:tcPr>
          <w:p w14:paraId="7E935A52" w14:textId="77777777" w:rsidR="00C27552" w:rsidRDefault="00C27552" w:rsidP="00C7484E">
            <w:pPr>
              <w:rPr>
                <w:b/>
                <w:bCs/>
              </w:rPr>
            </w:pPr>
            <w:r w:rsidRPr="008B57EC">
              <w:rPr>
                <w:b/>
                <w:bCs/>
              </w:rPr>
              <w:lastRenderedPageBreak/>
              <w:t>Indicate yes or no</w:t>
            </w:r>
            <w:r>
              <w:rPr>
                <w:b/>
                <w:bCs/>
              </w:rPr>
              <w:t>:</w:t>
            </w:r>
            <w:r w:rsidRPr="008B57EC">
              <w:rPr>
                <w:b/>
                <w:bCs/>
              </w:rPr>
              <w:t xml:space="preserve">  </w:t>
            </w:r>
          </w:p>
          <w:p w14:paraId="75FCF4A6" w14:textId="77777777" w:rsidR="00C27552" w:rsidRDefault="00C27552" w:rsidP="00C7484E">
            <w:pPr>
              <w:rPr>
                <w:b/>
                <w:bCs/>
              </w:rPr>
            </w:pPr>
          </w:p>
          <w:p w14:paraId="0442693D" w14:textId="77777777" w:rsidR="00C27552" w:rsidRDefault="00C27552" w:rsidP="00C7484E">
            <w:r>
              <w:rPr>
                <w:b/>
                <w:bCs/>
              </w:rPr>
              <w:t>Identify any</w:t>
            </w:r>
            <w:r w:rsidRPr="008B57EC">
              <w:rPr>
                <w:b/>
                <w:bCs/>
              </w:rPr>
              <w:t xml:space="preserve"> target compounds </w:t>
            </w:r>
            <w:r>
              <w:rPr>
                <w:b/>
                <w:bCs/>
              </w:rPr>
              <w:t xml:space="preserve">that </w:t>
            </w:r>
            <w:r w:rsidRPr="008B57EC">
              <w:rPr>
                <w:b/>
                <w:bCs/>
              </w:rPr>
              <w:t>were present:</w:t>
            </w:r>
          </w:p>
        </w:tc>
      </w:tr>
      <w:tr w:rsidR="00C27552" w14:paraId="2AA8B1F6" w14:textId="77777777" w:rsidTr="04C4022F">
        <w:tc>
          <w:tcPr>
            <w:tcW w:w="5395" w:type="dxa"/>
            <w:shd w:val="clear" w:color="auto" w:fill="D9D9D9" w:themeFill="background1" w:themeFillShade="D9"/>
          </w:tcPr>
          <w:p w14:paraId="64C4E09D" w14:textId="75A92B60" w:rsidR="00C27552" w:rsidRDefault="008C42EA" w:rsidP="00C7484E">
            <w:r>
              <w:t>4</w:t>
            </w:r>
            <w:r w:rsidR="00C27552">
              <w:t>.2.3</w:t>
            </w:r>
            <w:r w:rsidR="00C27552">
              <w:tab/>
              <w:t>Do the percent recoveries (%R) meet the QC limits provided by the lab?</w:t>
            </w:r>
          </w:p>
          <w:p w14:paraId="6FE9C239" w14:textId="77777777" w:rsidR="00C27552" w:rsidRDefault="00C27552" w:rsidP="00C7484E"/>
          <w:p w14:paraId="75CCF7B8" w14:textId="77777777" w:rsidR="00C27552" w:rsidRDefault="00C27552" w:rsidP="00C7484E">
            <w:r w:rsidRPr="5352CC54">
              <w:rPr>
                <w:b/>
              </w:rPr>
              <w:t>NOTE</w:t>
            </w:r>
            <w:r w:rsidRPr="004417EC">
              <w:rPr>
                <w:b/>
                <w:bCs/>
                <w:i/>
                <w:iCs/>
              </w:rPr>
              <w:t xml:space="preserve">: </w:t>
            </w:r>
            <w:r w:rsidRPr="004417EC">
              <w:rPr>
                <w:b/>
                <w:bCs/>
              </w:rPr>
              <w:t xml:space="preserve">The laboratory should use </w:t>
            </w:r>
            <w:r w:rsidRPr="00303C62">
              <w:rPr>
                <w:b/>
                <w:bCs/>
              </w:rPr>
              <w:t xml:space="preserve">70 - 130% </w:t>
            </w:r>
            <w:r w:rsidRPr="004417EC">
              <w:rPr>
                <w:b/>
                <w:bCs/>
              </w:rPr>
              <w:t xml:space="preserve">as interim acceptance criteria for recoveries of spiked analytes, until </w:t>
            </w:r>
            <w:r>
              <w:rPr>
                <w:b/>
                <w:bCs/>
              </w:rPr>
              <w:t>appropriate laboratory</w:t>
            </w:r>
            <w:r w:rsidRPr="004417EC">
              <w:rPr>
                <w:b/>
                <w:bCs/>
              </w:rPr>
              <w:t xml:space="preserve"> limits are developed</w:t>
            </w:r>
            <w:r>
              <w:rPr>
                <w:b/>
                <w:bCs/>
              </w:rPr>
              <w:t>.</w:t>
            </w:r>
          </w:p>
          <w:p w14:paraId="53484727" w14:textId="77777777" w:rsidR="00C27552" w:rsidRDefault="00C27552" w:rsidP="00C7484E"/>
          <w:p w14:paraId="16DE8002" w14:textId="0EAAACAF" w:rsidR="00C27552" w:rsidRDefault="00C27552" w:rsidP="00C7484E">
            <w:pPr>
              <w:rPr>
                <w:i/>
                <w:iCs/>
              </w:rPr>
            </w:pPr>
            <w:r w:rsidRPr="002B2E37">
              <w:rPr>
                <w:i/>
                <w:iCs/>
              </w:rPr>
              <w:t xml:space="preserve">Action: </w:t>
            </w:r>
            <w:r>
              <w:rPr>
                <w:i/>
                <w:iCs/>
              </w:rPr>
              <w:t xml:space="preserve">Follow the directions in </w:t>
            </w:r>
            <w:r w:rsidR="76DCEB0D" w:rsidRPr="790C6BFE">
              <w:rPr>
                <w:i/>
                <w:iCs/>
              </w:rPr>
              <w:t>Table 4-2</w:t>
            </w:r>
            <w:r>
              <w:rPr>
                <w:i/>
                <w:iCs/>
              </w:rPr>
              <w:t xml:space="preserve"> for qualifying results.</w:t>
            </w:r>
          </w:p>
          <w:p w14:paraId="70E18239" w14:textId="77777777" w:rsidR="00C27552" w:rsidRDefault="00C27552" w:rsidP="00C7484E">
            <w:pPr>
              <w:rPr>
                <w:i/>
                <w:iCs/>
              </w:rPr>
            </w:pPr>
          </w:p>
          <w:p w14:paraId="164DB913" w14:textId="77777777" w:rsidR="00C27552" w:rsidRPr="004417EC" w:rsidRDefault="00C27552" w:rsidP="00C7484E">
            <w:pPr>
              <w:rPr>
                <w:b/>
              </w:rPr>
            </w:pPr>
          </w:p>
        </w:tc>
        <w:tc>
          <w:tcPr>
            <w:tcW w:w="4675" w:type="dxa"/>
          </w:tcPr>
          <w:p w14:paraId="45B18CA1" w14:textId="71BF2267" w:rsidR="2183AFC4" w:rsidRDefault="2183AFC4" w:rsidP="087323A3">
            <w:pPr>
              <w:rPr>
                <w:b/>
                <w:bCs/>
              </w:rPr>
            </w:pPr>
            <w:r w:rsidRPr="04C4022F">
              <w:rPr>
                <w:b/>
                <w:bCs/>
              </w:rPr>
              <w:t>Indicate yes or no:</w:t>
            </w:r>
          </w:p>
          <w:p w14:paraId="4DA2B136" w14:textId="0B91A493" w:rsidR="087323A3" w:rsidRDefault="087323A3" w:rsidP="087323A3">
            <w:pPr>
              <w:rPr>
                <w:b/>
                <w:bCs/>
              </w:rPr>
            </w:pPr>
          </w:p>
          <w:p w14:paraId="3EC1C4D3" w14:textId="77777777" w:rsidR="00C27552" w:rsidRPr="008B57EC" w:rsidRDefault="00C27552" w:rsidP="00C7484E">
            <w:pPr>
              <w:rPr>
                <w:b/>
                <w:bCs/>
              </w:rPr>
            </w:pPr>
            <w:r w:rsidRPr="008B57EC">
              <w:rPr>
                <w:b/>
                <w:bCs/>
              </w:rPr>
              <w:t>List compounds and sample IDs that do not meet QC limits:</w:t>
            </w:r>
          </w:p>
        </w:tc>
      </w:tr>
      <w:tr w:rsidR="00C27552" w14:paraId="2D0C3F39" w14:textId="77777777" w:rsidTr="04C4022F">
        <w:tc>
          <w:tcPr>
            <w:tcW w:w="5395" w:type="dxa"/>
            <w:shd w:val="clear" w:color="auto" w:fill="D9D9D9" w:themeFill="background1" w:themeFillShade="D9"/>
          </w:tcPr>
          <w:p w14:paraId="24C00602" w14:textId="5D21AF39" w:rsidR="00C27552" w:rsidRDefault="008C42EA" w:rsidP="00C7484E">
            <w:r>
              <w:t>4</w:t>
            </w:r>
            <w:r w:rsidR="00C27552">
              <w:t>.2.4</w:t>
            </w:r>
            <w:r w:rsidR="00C27552">
              <w:tab/>
              <w:t>Verify the calculations for at least one %R.</w:t>
            </w:r>
          </w:p>
          <w:p w14:paraId="75B333D2" w14:textId="77777777" w:rsidR="00C27552" w:rsidRDefault="00C27552" w:rsidP="00C7484E"/>
          <w:p w14:paraId="76D7E8DC" w14:textId="77777777" w:rsidR="00C27552" w:rsidRPr="00BC22F9" w:rsidRDefault="00C27552" w:rsidP="00C7484E">
            <m:oMathPara>
              <m:oMath>
                <m:r>
                  <w:rPr>
                    <w:rFonts w:ascii="Cambria Math" w:hAnsi="Cambria Math"/>
                  </w:rPr>
                  <m:t xml:space="preserve">%R = </m:t>
                </m:r>
                <m:d>
                  <m:dPr>
                    <m:ctrlPr>
                      <w:rPr>
                        <w:rFonts w:ascii="Cambria Math" w:hAnsi="Cambria Math"/>
                        <w:i/>
                      </w:rPr>
                    </m:ctrlPr>
                  </m:dPr>
                  <m:e>
                    <m:f>
                      <m:fPr>
                        <m:ctrlPr>
                          <w:rPr>
                            <w:rFonts w:ascii="Cambria Math" w:hAnsi="Cambria Math"/>
                            <w:i/>
                          </w:rPr>
                        </m:ctrlPr>
                      </m:fPr>
                      <m:num>
                        <m:r>
                          <w:rPr>
                            <w:rFonts w:ascii="Cambria Math" w:hAnsi="Cambria Math"/>
                          </w:rPr>
                          <m:t xml:space="preserve">Measured Concentration </m:t>
                        </m:r>
                      </m:num>
                      <m:den>
                        <m:r>
                          <w:rPr>
                            <w:rFonts w:ascii="Cambria Math" w:hAnsi="Cambria Math"/>
                          </w:rPr>
                          <m:t>Spiked Amount</m:t>
                        </m:r>
                      </m:den>
                    </m:f>
                  </m:e>
                </m:d>
                <m:r>
                  <w:rPr>
                    <w:rFonts w:ascii="Cambria Math" w:hAnsi="Cambria Math"/>
                  </w:rPr>
                  <m:t xml:space="preserve"> ×100</m:t>
                </m:r>
              </m:oMath>
            </m:oMathPara>
          </w:p>
          <w:p w14:paraId="540D3D93" w14:textId="77777777" w:rsidR="00C27552" w:rsidRDefault="00C27552" w:rsidP="00C7484E">
            <w:pPr>
              <w:rPr>
                <w:i/>
                <w:iCs/>
              </w:rPr>
            </w:pPr>
          </w:p>
          <w:p w14:paraId="1B0021C5" w14:textId="77777777" w:rsidR="00C27552" w:rsidRPr="002234F7" w:rsidRDefault="00C27552" w:rsidP="00C7484E">
            <w:pPr>
              <w:rPr>
                <w:i/>
                <w:iCs/>
              </w:rPr>
            </w:pPr>
            <w:r w:rsidRPr="002234F7">
              <w:rPr>
                <w:i/>
                <w:iCs/>
              </w:rPr>
              <w:t>Action:  If the %R is not calculated correctly, verify the other %R calculations and/or contact the lab for re-submission.  If the recalculated %R values fall within the QC limits, the Data Validator should use professional judgment to determine if the lab should be contacted for re-submission or if the data should be flagged.</w:t>
            </w:r>
          </w:p>
        </w:tc>
        <w:tc>
          <w:tcPr>
            <w:tcW w:w="4675" w:type="dxa"/>
          </w:tcPr>
          <w:p w14:paraId="6F1C5596" w14:textId="77777777" w:rsidR="00C27552" w:rsidRPr="008B57EC" w:rsidRDefault="00C27552" w:rsidP="00C7484E">
            <w:pPr>
              <w:rPr>
                <w:b/>
                <w:bCs/>
              </w:rPr>
            </w:pPr>
            <w:r>
              <w:rPr>
                <w:b/>
                <w:bCs/>
              </w:rPr>
              <w:t>Show results of verified %R calculation:</w:t>
            </w:r>
          </w:p>
        </w:tc>
      </w:tr>
    </w:tbl>
    <w:p w14:paraId="49E23E8E" w14:textId="77777777" w:rsidR="00C27552" w:rsidRDefault="00C27552" w:rsidP="00C27552"/>
    <w:tbl>
      <w:tblPr>
        <w:tblStyle w:val="TableGrid"/>
        <w:tblW w:w="0" w:type="auto"/>
        <w:tblLook w:val="04A0" w:firstRow="1" w:lastRow="0" w:firstColumn="1" w:lastColumn="0" w:noHBand="0" w:noVBand="1"/>
      </w:tblPr>
      <w:tblGrid>
        <w:gridCol w:w="3116"/>
        <w:gridCol w:w="3117"/>
        <w:gridCol w:w="3117"/>
      </w:tblGrid>
      <w:tr w:rsidR="00C27552" w:rsidRPr="007E056D" w14:paraId="53C372EA" w14:textId="77777777" w:rsidTr="00C7484E">
        <w:trPr>
          <w:trHeight w:val="145"/>
          <w:tblHeader/>
        </w:trPr>
        <w:tc>
          <w:tcPr>
            <w:tcW w:w="9350" w:type="dxa"/>
            <w:gridSpan w:val="3"/>
            <w:shd w:val="clear" w:color="auto" w:fill="D9D9D9" w:themeFill="background1" w:themeFillShade="D9"/>
            <w:vAlign w:val="center"/>
          </w:tcPr>
          <w:p w14:paraId="0786A70E" w14:textId="1828DD7D" w:rsidR="00C27552" w:rsidRPr="00FB3B3F" w:rsidRDefault="4A3CB1A9" w:rsidP="00C7484E">
            <w:pPr>
              <w:pStyle w:val="Default"/>
              <w:jc w:val="center"/>
              <w:rPr>
                <w:rFonts w:asciiTheme="minorHAnsi" w:hAnsiTheme="minorHAnsi" w:cstheme="minorBidi"/>
                <w:b/>
                <w:sz w:val="22"/>
                <w:szCs w:val="22"/>
              </w:rPr>
            </w:pPr>
            <w:bookmarkStart w:id="0" w:name="_Hlk106009197"/>
            <w:r w:rsidRPr="790C6BFE">
              <w:rPr>
                <w:rFonts w:asciiTheme="minorHAnsi" w:hAnsiTheme="minorHAnsi" w:cstheme="minorBidi"/>
                <w:b/>
                <w:bCs/>
                <w:sz w:val="22"/>
                <w:szCs w:val="22"/>
              </w:rPr>
              <w:t xml:space="preserve">Table 4-2: </w:t>
            </w:r>
            <w:r w:rsidR="00C27552" w:rsidRPr="790C6BFE">
              <w:rPr>
                <w:rFonts w:asciiTheme="minorHAnsi" w:hAnsiTheme="minorHAnsi" w:cstheme="minorBidi"/>
                <w:b/>
                <w:sz w:val="22"/>
                <w:szCs w:val="22"/>
              </w:rPr>
              <w:t>LCS Actions for SVOC Analyses</w:t>
            </w:r>
            <w:bookmarkEnd w:id="0"/>
          </w:p>
        </w:tc>
      </w:tr>
      <w:tr w:rsidR="00C27552" w:rsidRPr="007E056D" w14:paraId="38F517B7" w14:textId="77777777" w:rsidTr="00C7484E">
        <w:trPr>
          <w:trHeight w:val="145"/>
          <w:tblHeader/>
        </w:trPr>
        <w:tc>
          <w:tcPr>
            <w:tcW w:w="9350" w:type="dxa"/>
            <w:gridSpan w:val="3"/>
            <w:shd w:val="clear" w:color="auto" w:fill="D9D9D9" w:themeFill="background1" w:themeFillShade="D9"/>
            <w:vAlign w:val="center"/>
          </w:tcPr>
          <w:p w14:paraId="0C1C6902" w14:textId="77777777" w:rsidR="00C27552" w:rsidRPr="007E056D" w:rsidRDefault="00C27552" w:rsidP="00C7484E">
            <w:pPr>
              <w:pStyle w:val="Default"/>
              <w:jc w:val="center"/>
              <w:rPr>
                <w:rFonts w:asciiTheme="minorHAnsi" w:hAnsiTheme="minorHAnsi" w:cstheme="minorHAnsi"/>
                <w:sz w:val="22"/>
                <w:szCs w:val="22"/>
              </w:rPr>
            </w:pPr>
            <w:r w:rsidRPr="007E056D">
              <w:rPr>
                <w:rFonts w:asciiTheme="minorHAnsi" w:hAnsiTheme="minorHAnsi" w:cstheme="minorHAnsi"/>
                <w:sz w:val="22"/>
                <w:szCs w:val="22"/>
              </w:rPr>
              <w:t>Qualification</w:t>
            </w:r>
          </w:p>
        </w:tc>
      </w:tr>
      <w:tr w:rsidR="00C27552" w:rsidRPr="00D45C7A" w14:paraId="39D82BBC" w14:textId="77777777" w:rsidTr="00C7484E">
        <w:trPr>
          <w:trHeight w:val="220"/>
        </w:trPr>
        <w:tc>
          <w:tcPr>
            <w:tcW w:w="3116" w:type="dxa"/>
          </w:tcPr>
          <w:p w14:paraId="2D9BA4D8" w14:textId="77777777" w:rsidR="00C27552" w:rsidRPr="00D45C7A" w:rsidRDefault="00C27552" w:rsidP="00C7484E">
            <w:pPr>
              <w:jc w:val="center"/>
            </w:pPr>
            <w:r>
              <w:t>LCS Result</w:t>
            </w:r>
          </w:p>
        </w:tc>
        <w:tc>
          <w:tcPr>
            <w:tcW w:w="3117" w:type="dxa"/>
          </w:tcPr>
          <w:p w14:paraId="470FB262" w14:textId="77777777" w:rsidR="00C27552" w:rsidRPr="00D45C7A" w:rsidRDefault="00C27552" w:rsidP="00C7484E">
            <w:pPr>
              <w:jc w:val="center"/>
            </w:pPr>
            <w:r>
              <w:t xml:space="preserve">Sample Result </w:t>
            </w:r>
          </w:p>
        </w:tc>
        <w:tc>
          <w:tcPr>
            <w:tcW w:w="3117" w:type="dxa"/>
          </w:tcPr>
          <w:p w14:paraId="403B311E" w14:textId="77777777" w:rsidR="00C27552" w:rsidRPr="00D45C7A" w:rsidRDefault="00C27552" w:rsidP="00C7484E">
            <w:pPr>
              <w:jc w:val="center"/>
            </w:pPr>
            <w:r>
              <w:t>Action</w:t>
            </w:r>
          </w:p>
        </w:tc>
      </w:tr>
      <w:tr w:rsidR="00C27552" w14:paraId="315D7685" w14:textId="77777777" w:rsidTr="00C7484E">
        <w:trPr>
          <w:trHeight w:val="215"/>
        </w:trPr>
        <w:tc>
          <w:tcPr>
            <w:tcW w:w="3116" w:type="dxa"/>
            <w:vAlign w:val="center"/>
          </w:tcPr>
          <w:p w14:paraId="35128AFD" w14:textId="77777777" w:rsidR="00C27552" w:rsidRDefault="00C27552" w:rsidP="00C7484E">
            <w:pPr>
              <w:jc w:val="center"/>
            </w:pPr>
            <w:r>
              <w:rPr>
                <w:rFonts w:cstheme="minorHAnsi"/>
              </w:rPr>
              <w:t>&gt;</w:t>
            </w:r>
            <w:r>
              <w:t xml:space="preserve"> Upper acceptance limit</w:t>
            </w:r>
          </w:p>
        </w:tc>
        <w:tc>
          <w:tcPr>
            <w:tcW w:w="3117" w:type="dxa"/>
          </w:tcPr>
          <w:p w14:paraId="236ACE86" w14:textId="77777777" w:rsidR="00C27552" w:rsidRDefault="00C27552" w:rsidP="00C7484E">
            <w:pPr>
              <w:jc w:val="center"/>
            </w:pPr>
            <w:r>
              <w:t>Detection</w:t>
            </w:r>
          </w:p>
        </w:tc>
        <w:tc>
          <w:tcPr>
            <w:tcW w:w="3117" w:type="dxa"/>
            <w:vAlign w:val="center"/>
          </w:tcPr>
          <w:p w14:paraId="5381B083" w14:textId="77777777" w:rsidR="00C27552" w:rsidRDefault="00C27552" w:rsidP="00C7484E">
            <w:pPr>
              <w:jc w:val="center"/>
            </w:pPr>
            <w:r>
              <w:t>J+</w:t>
            </w:r>
          </w:p>
        </w:tc>
      </w:tr>
      <w:tr w:rsidR="00C27552" w:rsidRPr="00D45C7A" w14:paraId="4D8EC81D" w14:textId="77777777" w:rsidTr="00C7484E">
        <w:trPr>
          <w:trHeight w:val="215"/>
        </w:trPr>
        <w:tc>
          <w:tcPr>
            <w:tcW w:w="3116" w:type="dxa"/>
            <w:vAlign w:val="center"/>
          </w:tcPr>
          <w:p w14:paraId="6998997E" w14:textId="77777777" w:rsidR="00C27552" w:rsidRPr="00D45C7A" w:rsidRDefault="00C27552" w:rsidP="00C7484E">
            <w:pPr>
              <w:jc w:val="center"/>
            </w:pPr>
            <w:r>
              <w:t>&lt; Lower acceptance limit</w:t>
            </w:r>
          </w:p>
        </w:tc>
        <w:tc>
          <w:tcPr>
            <w:tcW w:w="3117" w:type="dxa"/>
          </w:tcPr>
          <w:p w14:paraId="1E455410" w14:textId="77777777" w:rsidR="00C27552" w:rsidRPr="00D45C7A" w:rsidRDefault="00C27552" w:rsidP="00C7484E">
            <w:pPr>
              <w:jc w:val="center"/>
            </w:pPr>
            <w:r>
              <w:t>Detection</w:t>
            </w:r>
          </w:p>
        </w:tc>
        <w:tc>
          <w:tcPr>
            <w:tcW w:w="3117" w:type="dxa"/>
            <w:vAlign w:val="center"/>
          </w:tcPr>
          <w:p w14:paraId="64B6A2C2" w14:textId="77777777" w:rsidR="00C27552" w:rsidRPr="00D45C7A" w:rsidRDefault="00C27552" w:rsidP="00C7484E">
            <w:pPr>
              <w:jc w:val="center"/>
            </w:pPr>
            <w:r>
              <w:t>J-</w:t>
            </w:r>
          </w:p>
        </w:tc>
      </w:tr>
      <w:tr w:rsidR="00C27552" w:rsidRPr="00D45C7A" w14:paraId="0D65DE8F" w14:textId="77777777" w:rsidTr="00C7484E">
        <w:trPr>
          <w:trHeight w:val="215"/>
        </w:trPr>
        <w:tc>
          <w:tcPr>
            <w:tcW w:w="3116" w:type="dxa"/>
            <w:vAlign w:val="center"/>
          </w:tcPr>
          <w:p w14:paraId="799FDFFE" w14:textId="77777777" w:rsidR="00C27552" w:rsidRPr="00D45C7A" w:rsidRDefault="00C27552" w:rsidP="00C7484E">
            <w:pPr>
              <w:jc w:val="center"/>
            </w:pPr>
            <w:r>
              <w:t>&lt; Lower acceptance limit</w:t>
            </w:r>
          </w:p>
        </w:tc>
        <w:tc>
          <w:tcPr>
            <w:tcW w:w="3117" w:type="dxa"/>
          </w:tcPr>
          <w:p w14:paraId="0560FCDA" w14:textId="77777777" w:rsidR="00C27552" w:rsidRPr="00D45C7A" w:rsidRDefault="00C27552" w:rsidP="00C7484E">
            <w:pPr>
              <w:jc w:val="center"/>
            </w:pPr>
            <w:r>
              <w:t>Non-detect</w:t>
            </w:r>
          </w:p>
        </w:tc>
        <w:tc>
          <w:tcPr>
            <w:tcW w:w="3117" w:type="dxa"/>
            <w:vAlign w:val="center"/>
          </w:tcPr>
          <w:p w14:paraId="74D0E81F" w14:textId="77777777" w:rsidR="00C27552" w:rsidRPr="00D45C7A" w:rsidRDefault="00C27552" w:rsidP="00C7484E">
            <w:pPr>
              <w:jc w:val="center"/>
            </w:pPr>
            <w:r>
              <w:t>R</w:t>
            </w:r>
          </w:p>
        </w:tc>
      </w:tr>
      <w:tr w:rsidR="00C27552" w:rsidRPr="00D45C7A" w14:paraId="7E6EA36B" w14:textId="77777777" w:rsidTr="00C7484E">
        <w:trPr>
          <w:trHeight w:val="215"/>
        </w:trPr>
        <w:tc>
          <w:tcPr>
            <w:tcW w:w="3116" w:type="dxa"/>
          </w:tcPr>
          <w:p w14:paraId="1817B9A4" w14:textId="77777777" w:rsidR="00C27552" w:rsidRPr="00D45C7A" w:rsidRDefault="00C27552" w:rsidP="00C7484E">
            <w:pPr>
              <w:jc w:val="center"/>
            </w:pPr>
            <w:r>
              <w:rPr>
                <w:rFonts w:cstheme="minorHAnsi"/>
              </w:rPr>
              <w:t>≥</w:t>
            </w:r>
            <w:r>
              <w:t xml:space="preserve"> Half target compounds not within recovery criteria</w:t>
            </w:r>
          </w:p>
        </w:tc>
        <w:tc>
          <w:tcPr>
            <w:tcW w:w="3117" w:type="dxa"/>
          </w:tcPr>
          <w:p w14:paraId="61398A10" w14:textId="77777777" w:rsidR="00C27552" w:rsidRPr="00D45C7A" w:rsidRDefault="00C27552" w:rsidP="00C7484E">
            <w:pPr>
              <w:jc w:val="center"/>
            </w:pPr>
            <w:r>
              <w:t>All detections</w:t>
            </w:r>
          </w:p>
        </w:tc>
        <w:tc>
          <w:tcPr>
            <w:tcW w:w="3117" w:type="dxa"/>
          </w:tcPr>
          <w:p w14:paraId="77727E92" w14:textId="77777777" w:rsidR="00C27552" w:rsidRPr="00D45C7A" w:rsidRDefault="00C27552" w:rsidP="00C7484E">
            <w:pPr>
              <w:jc w:val="center"/>
            </w:pPr>
            <w:r>
              <w:t>J</w:t>
            </w:r>
          </w:p>
        </w:tc>
      </w:tr>
      <w:tr w:rsidR="00C27552" w:rsidRPr="00D45C7A" w14:paraId="50F32C42" w14:textId="77777777" w:rsidTr="00C7484E">
        <w:trPr>
          <w:trHeight w:val="215"/>
        </w:trPr>
        <w:tc>
          <w:tcPr>
            <w:tcW w:w="3116" w:type="dxa"/>
          </w:tcPr>
          <w:p w14:paraId="75802DCA" w14:textId="77777777" w:rsidR="00C27552" w:rsidRPr="00D45C7A" w:rsidRDefault="00C27552" w:rsidP="00C7484E">
            <w:pPr>
              <w:jc w:val="center"/>
            </w:pPr>
            <w:r>
              <w:rPr>
                <w:rFonts w:cstheme="minorHAnsi"/>
              </w:rPr>
              <w:lastRenderedPageBreak/>
              <w:t>≥</w:t>
            </w:r>
            <w:r>
              <w:t xml:space="preserve"> Half target compounds not within recovery criteria</w:t>
            </w:r>
          </w:p>
        </w:tc>
        <w:tc>
          <w:tcPr>
            <w:tcW w:w="3117" w:type="dxa"/>
          </w:tcPr>
          <w:p w14:paraId="51698A34" w14:textId="77777777" w:rsidR="00C27552" w:rsidRPr="00D45C7A" w:rsidRDefault="00C27552" w:rsidP="00C7484E">
            <w:pPr>
              <w:jc w:val="center"/>
            </w:pPr>
            <w:r>
              <w:t>All non-detects</w:t>
            </w:r>
          </w:p>
        </w:tc>
        <w:tc>
          <w:tcPr>
            <w:tcW w:w="3117" w:type="dxa"/>
            <w:vAlign w:val="center"/>
          </w:tcPr>
          <w:p w14:paraId="58E7D56A" w14:textId="77777777" w:rsidR="00C27552" w:rsidRPr="00D45C7A" w:rsidRDefault="00C27552" w:rsidP="00C7484E">
            <w:pPr>
              <w:jc w:val="center"/>
            </w:pPr>
            <w:r>
              <w:t>R</w:t>
            </w:r>
          </w:p>
        </w:tc>
      </w:tr>
    </w:tbl>
    <w:p w14:paraId="1BF5B745" w14:textId="77777777" w:rsidR="00C27552" w:rsidRDefault="00C27552" w:rsidP="00C27552"/>
    <w:tbl>
      <w:tblPr>
        <w:tblStyle w:val="TableGrid"/>
        <w:tblW w:w="0" w:type="auto"/>
        <w:tblLook w:val="04A0" w:firstRow="1" w:lastRow="0" w:firstColumn="1" w:lastColumn="0" w:noHBand="0" w:noVBand="1"/>
      </w:tblPr>
      <w:tblGrid>
        <w:gridCol w:w="4675"/>
        <w:gridCol w:w="4675"/>
      </w:tblGrid>
      <w:tr w:rsidR="00C27552" w14:paraId="4687AEB0" w14:textId="77777777" w:rsidTr="00C7484E">
        <w:trPr>
          <w:tblHeader/>
        </w:trPr>
        <w:tc>
          <w:tcPr>
            <w:tcW w:w="9350" w:type="dxa"/>
            <w:gridSpan w:val="2"/>
            <w:shd w:val="clear" w:color="auto" w:fill="D9D9D9" w:themeFill="background1" w:themeFillShade="D9"/>
          </w:tcPr>
          <w:p w14:paraId="3C849CFF" w14:textId="614C03A3" w:rsidR="00C27552" w:rsidRPr="001C7061" w:rsidRDefault="008C42EA" w:rsidP="00C7484E">
            <w:pPr>
              <w:rPr>
                <w:b/>
                <w:bCs/>
              </w:rPr>
            </w:pPr>
            <w:r>
              <w:rPr>
                <w:b/>
                <w:bCs/>
              </w:rPr>
              <w:t>4</w:t>
            </w:r>
            <w:r w:rsidR="00C27552" w:rsidRPr="001C7061">
              <w:rPr>
                <w:b/>
                <w:bCs/>
              </w:rPr>
              <w:t>.3</w:t>
            </w:r>
            <w:r w:rsidR="00C27552">
              <w:rPr>
                <w:b/>
                <w:bCs/>
              </w:rPr>
              <w:tab/>
            </w:r>
            <w:r w:rsidR="00C27552" w:rsidRPr="006620B8">
              <w:rPr>
                <w:b/>
                <w:bCs/>
              </w:rPr>
              <w:t xml:space="preserve">Semi-Volatile Data Review - </w:t>
            </w:r>
            <w:r w:rsidR="00C27552" w:rsidRPr="001C7061">
              <w:rPr>
                <w:b/>
                <w:bCs/>
              </w:rPr>
              <w:t>Matrix Spike/Matrix Spike Duplicates</w:t>
            </w:r>
          </w:p>
        </w:tc>
      </w:tr>
      <w:tr w:rsidR="00C27552" w14:paraId="2AF77EC8" w14:textId="77777777" w:rsidTr="00C7484E">
        <w:tc>
          <w:tcPr>
            <w:tcW w:w="9350" w:type="dxa"/>
            <w:gridSpan w:val="2"/>
            <w:shd w:val="clear" w:color="auto" w:fill="D9D9D9" w:themeFill="background1" w:themeFillShade="D9"/>
          </w:tcPr>
          <w:p w14:paraId="5E457DC9" w14:textId="7FE832C3" w:rsidR="00C27552" w:rsidRPr="001C7061" w:rsidRDefault="00C27552" w:rsidP="00C7484E">
            <w:pPr>
              <w:rPr>
                <w:b/>
                <w:bCs/>
              </w:rPr>
            </w:pPr>
            <w:r w:rsidRPr="001C7061">
              <w:rPr>
                <w:b/>
                <w:bCs/>
              </w:rPr>
              <w:t xml:space="preserve">Matrix spike </w:t>
            </w:r>
            <w:r w:rsidR="13A1C3AA" w:rsidRPr="5352CC54">
              <w:rPr>
                <w:b/>
                <w:bCs/>
              </w:rPr>
              <w:t>(MS)</w:t>
            </w:r>
            <w:r w:rsidRPr="5352CC54">
              <w:rPr>
                <w:b/>
                <w:bCs/>
              </w:rPr>
              <w:t xml:space="preserve"> </w:t>
            </w:r>
            <w:r w:rsidRPr="001C7061">
              <w:rPr>
                <w:b/>
                <w:bCs/>
              </w:rPr>
              <w:t>and matrix spike duplicates</w:t>
            </w:r>
            <w:r w:rsidRPr="5352CC54">
              <w:rPr>
                <w:b/>
                <w:bCs/>
              </w:rPr>
              <w:t xml:space="preserve"> </w:t>
            </w:r>
            <w:r w:rsidR="13A1C3AA" w:rsidRPr="5352CC54">
              <w:rPr>
                <w:b/>
                <w:bCs/>
              </w:rPr>
              <w:t>(MSD)</w:t>
            </w:r>
            <w:r w:rsidRPr="001C7061">
              <w:rPr>
                <w:b/>
                <w:bCs/>
              </w:rPr>
              <w:t xml:space="preserve"> are performed to assess method precision for VOC and SVOC analyses.  Matrix spikes and duplicates are required for every batch of samples (every 20 samples).  The </w:t>
            </w:r>
            <w:r>
              <w:rPr>
                <w:b/>
                <w:bCs/>
              </w:rPr>
              <w:t>Data V</w:t>
            </w:r>
            <w:r w:rsidRPr="001C7061">
              <w:rPr>
                <w:b/>
                <w:bCs/>
              </w:rPr>
              <w:t>alidator should be aware that the MS/MSD are batch specific, not sample specific.  For example, the MS/MSD information may be analyzed with any sample in the batch, but not necessarily a sample being validated.  Because of this, matrix spike and matrix spike duplicate data alone usually are</w:t>
            </w:r>
            <w:r>
              <w:rPr>
                <w:b/>
                <w:bCs/>
              </w:rPr>
              <w:t xml:space="preserve"> not</w:t>
            </w:r>
            <w:r w:rsidRPr="001C7061">
              <w:rPr>
                <w:b/>
                <w:bCs/>
              </w:rPr>
              <w:t xml:space="preserve"> used to qualify results, but the information is used with other QA/QC data to qualify data.</w:t>
            </w:r>
          </w:p>
        </w:tc>
      </w:tr>
      <w:tr w:rsidR="00C27552" w14:paraId="483E6974" w14:textId="77777777" w:rsidTr="00C7484E">
        <w:tc>
          <w:tcPr>
            <w:tcW w:w="4675" w:type="dxa"/>
            <w:shd w:val="clear" w:color="auto" w:fill="D9D9D9" w:themeFill="background1" w:themeFillShade="D9"/>
          </w:tcPr>
          <w:p w14:paraId="73C794AC" w14:textId="4524F5EA" w:rsidR="00C27552" w:rsidRDefault="008C42EA" w:rsidP="00C7484E">
            <w:r>
              <w:t>4</w:t>
            </w:r>
            <w:r w:rsidR="00C27552">
              <w:t>.3.1</w:t>
            </w:r>
            <w:r w:rsidR="00C27552">
              <w:tab/>
              <w:t>Is matrix spike/matrix spike duplicate recovery data present?</w:t>
            </w:r>
          </w:p>
          <w:p w14:paraId="4A9F7867" w14:textId="77777777" w:rsidR="00C27552" w:rsidRDefault="00C27552" w:rsidP="00C7484E"/>
          <w:p w14:paraId="62DAF33D" w14:textId="430BD742" w:rsidR="00C27552" w:rsidRPr="00CD1B35" w:rsidRDefault="00C27552" w:rsidP="00C7484E">
            <w:pPr>
              <w:rPr>
                <w:i/>
                <w:iCs/>
              </w:rPr>
            </w:pPr>
            <w:r w:rsidRPr="00CD1B35">
              <w:rPr>
                <w:i/>
                <w:iCs/>
              </w:rPr>
              <w:t xml:space="preserve">Action: If any matrix spike/spike duplicate data are missing, the laboratory </w:t>
            </w:r>
            <w:r w:rsidR="3DCED6B6" w:rsidRPr="5352CC54">
              <w:rPr>
                <w:i/>
                <w:iCs/>
              </w:rPr>
              <w:t>or applicable party</w:t>
            </w:r>
            <w:r w:rsidRPr="5352CC54">
              <w:rPr>
                <w:i/>
                <w:iCs/>
              </w:rPr>
              <w:t xml:space="preserve"> </w:t>
            </w:r>
            <w:r w:rsidRPr="00CD1B35">
              <w:rPr>
                <w:i/>
                <w:iCs/>
              </w:rPr>
              <w:t>should be contacted for a re-submittal.</w:t>
            </w:r>
          </w:p>
        </w:tc>
        <w:tc>
          <w:tcPr>
            <w:tcW w:w="4675" w:type="dxa"/>
          </w:tcPr>
          <w:p w14:paraId="04B2539D" w14:textId="77777777" w:rsidR="00C27552" w:rsidRPr="001F0FB3" w:rsidRDefault="00C27552" w:rsidP="00C7484E">
            <w:pPr>
              <w:rPr>
                <w:b/>
                <w:bCs/>
              </w:rPr>
            </w:pPr>
            <w:r w:rsidRPr="001F0FB3">
              <w:rPr>
                <w:b/>
                <w:bCs/>
              </w:rPr>
              <w:t>Indicate yes or no:</w:t>
            </w:r>
          </w:p>
        </w:tc>
      </w:tr>
      <w:tr w:rsidR="00C27552" w14:paraId="556323C6" w14:textId="77777777" w:rsidTr="00C7484E">
        <w:tc>
          <w:tcPr>
            <w:tcW w:w="4675" w:type="dxa"/>
            <w:shd w:val="clear" w:color="auto" w:fill="D9D9D9" w:themeFill="background1" w:themeFillShade="D9"/>
          </w:tcPr>
          <w:p w14:paraId="1D60628E" w14:textId="76DA8E21" w:rsidR="00C27552" w:rsidRDefault="008C42EA" w:rsidP="00C7484E">
            <w:r>
              <w:t>4</w:t>
            </w:r>
            <w:r w:rsidR="00C27552" w:rsidRPr="008B50B7">
              <w:t>.3.2</w:t>
            </w:r>
            <w:r w:rsidR="00C27552" w:rsidRPr="008B50B7">
              <w:tab/>
              <w:t>How many spike recoveries are outside the QC limits?</w:t>
            </w:r>
          </w:p>
          <w:p w14:paraId="15B1AC24" w14:textId="77777777" w:rsidR="00C27552" w:rsidRDefault="00C27552" w:rsidP="00C7484E"/>
          <w:p w14:paraId="5C25B0A7" w14:textId="77777777" w:rsidR="00C27552" w:rsidRDefault="00C27552" w:rsidP="00C7484E">
            <w:pPr>
              <w:ind w:left="720" w:hanging="720"/>
            </w:pPr>
          </w:p>
        </w:tc>
        <w:tc>
          <w:tcPr>
            <w:tcW w:w="4675" w:type="dxa"/>
          </w:tcPr>
          <w:p w14:paraId="2CF6CCC3" w14:textId="77777777" w:rsidR="00C27552" w:rsidRPr="001F0FB3" w:rsidRDefault="00C27552" w:rsidP="00C7484E">
            <w:pPr>
              <w:rPr>
                <w:b/>
                <w:bCs/>
              </w:rPr>
            </w:pPr>
            <w:r w:rsidRPr="001F0FB3">
              <w:rPr>
                <w:b/>
                <w:bCs/>
              </w:rPr>
              <w:t>Record the compound(s) out of compliance, their spike recovery, and the control limits:</w:t>
            </w:r>
          </w:p>
          <w:p w14:paraId="131A235E" w14:textId="77777777" w:rsidR="00C27552" w:rsidRDefault="00C27552" w:rsidP="00C7484E"/>
          <w:p w14:paraId="6CCB8E69" w14:textId="77777777" w:rsidR="00C27552" w:rsidRDefault="00C27552" w:rsidP="00C7484E"/>
          <w:p w14:paraId="58233400" w14:textId="77777777" w:rsidR="00C27552" w:rsidRDefault="00C27552" w:rsidP="00C7484E"/>
          <w:p w14:paraId="598EC688" w14:textId="77777777" w:rsidR="00C27552" w:rsidRDefault="00C27552" w:rsidP="00C7484E"/>
        </w:tc>
      </w:tr>
      <w:tr w:rsidR="00C27552" w14:paraId="07E28869" w14:textId="77777777" w:rsidTr="00C7484E">
        <w:tc>
          <w:tcPr>
            <w:tcW w:w="4675" w:type="dxa"/>
            <w:shd w:val="clear" w:color="auto" w:fill="D9D9D9" w:themeFill="background1" w:themeFillShade="D9"/>
          </w:tcPr>
          <w:p w14:paraId="57605100" w14:textId="6D3BAFEA" w:rsidR="00C27552" w:rsidRPr="0084457D" w:rsidRDefault="008C42EA" w:rsidP="00C7484E">
            <w:r>
              <w:t>4</w:t>
            </w:r>
            <w:r w:rsidR="00C27552">
              <w:t>.3.3</w:t>
            </w:r>
            <w:r w:rsidR="00C27552">
              <w:tab/>
              <w:t>How many relative percent differences (RPDs) for matrix spike and matrix spike duplicate recoveries are outside the QC limits</w:t>
            </w:r>
            <w:r w:rsidR="4EE88DC4">
              <w:t xml:space="preserve"> </w:t>
            </w:r>
            <w:r w:rsidR="4EE88DC4" w:rsidRPr="47DA1950">
              <w:rPr>
                <w:rFonts w:ascii="Calibri" w:eastAsia="Calibri" w:hAnsi="Calibri" w:cs="Calibri"/>
                <w:color w:val="000000" w:themeColor="text1"/>
              </w:rPr>
              <w:t>(</w:t>
            </w:r>
            <w:r w:rsidR="4EE88DC4" w:rsidRPr="47DA1950">
              <w:rPr>
                <w:rFonts w:ascii="Segoe UI" w:eastAsia="Segoe UI" w:hAnsi="Segoe UI" w:cs="Segoe UI"/>
                <w:color w:val="000000" w:themeColor="text1"/>
              </w:rPr>
              <w:t>≤</w:t>
            </w:r>
            <w:r w:rsidR="4EE88DC4" w:rsidRPr="47DA1950">
              <w:rPr>
                <w:rFonts w:ascii="Calibri" w:eastAsia="Calibri" w:hAnsi="Calibri" w:cs="Calibri"/>
                <w:color w:val="000000" w:themeColor="text1"/>
              </w:rPr>
              <w:t>20%)</w:t>
            </w:r>
            <w:r w:rsidR="00C27552">
              <w:t>?</w:t>
            </w:r>
          </w:p>
          <w:p w14:paraId="25104052" w14:textId="77777777" w:rsidR="00C27552" w:rsidRDefault="00C27552" w:rsidP="00C7484E"/>
          <w:p w14:paraId="7B806306" w14:textId="77777777" w:rsidR="00C27552" w:rsidRDefault="00C27552" w:rsidP="00C7484E"/>
          <w:p w14:paraId="0763EA33" w14:textId="77777777" w:rsidR="00C27552" w:rsidRDefault="00C27552" w:rsidP="00C7484E">
            <w:pPr>
              <w:rPr>
                <w:b/>
                <w:bCs/>
              </w:rPr>
            </w:pPr>
            <w:r w:rsidRPr="0028013E">
              <w:rPr>
                <w:b/>
                <w:bCs/>
              </w:rPr>
              <w:t xml:space="preserve">Note:  The MS/MSD results may be used in conjunction with other QC criteria to determine the need for data qualification.  </w:t>
            </w:r>
            <w:r>
              <w:rPr>
                <w:b/>
                <w:bCs/>
              </w:rPr>
              <w:t>Results outside QC limits</w:t>
            </w:r>
            <w:r w:rsidRPr="0028013E">
              <w:rPr>
                <w:b/>
                <w:bCs/>
              </w:rPr>
              <w:t xml:space="preserve"> should be identified.</w:t>
            </w:r>
          </w:p>
          <w:p w14:paraId="1F1C5450" w14:textId="77777777" w:rsidR="00C27552" w:rsidRDefault="00C27552" w:rsidP="00C7484E">
            <w:pPr>
              <w:rPr>
                <w:b/>
                <w:bCs/>
              </w:rPr>
            </w:pPr>
          </w:p>
          <w:p w14:paraId="1CDB33DE" w14:textId="77777777" w:rsidR="00C27552" w:rsidRPr="00623BA2" w:rsidRDefault="00C27552" w:rsidP="00C7484E">
            <w:pPr>
              <w:rPr>
                <w:i/>
              </w:rPr>
            </w:pPr>
            <w:r>
              <w:rPr>
                <w:i/>
                <w:iCs/>
              </w:rPr>
              <w:t>Action: Identify RPDs that are outside QC limits.</w:t>
            </w:r>
          </w:p>
        </w:tc>
        <w:tc>
          <w:tcPr>
            <w:tcW w:w="4675" w:type="dxa"/>
          </w:tcPr>
          <w:p w14:paraId="206184F9" w14:textId="77777777" w:rsidR="00C27552" w:rsidRDefault="00C27552" w:rsidP="00C7484E">
            <w:pPr>
              <w:rPr>
                <w:b/>
                <w:bCs/>
              </w:rPr>
            </w:pPr>
            <w:r w:rsidRPr="0025501F">
              <w:rPr>
                <w:b/>
                <w:bCs/>
              </w:rPr>
              <w:t>Quantity of RPDs that are outside QC Limits:</w:t>
            </w:r>
          </w:p>
          <w:p w14:paraId="5836F635" w14:textId="77777777" w:rsidR="00C27552" w:rsidRDefault="00C27552" w:rsidP="00C7484E">
            <w:pPr>
              <w:rPr>
                <w:b/>
                <w:bCs/>
              </w:rPr>
            </w:pPr>
          </w:p>
          <w:p w14:paraId="4F904078" w14:textId="77777777" w:rsidR="00C27552" w:rsidRDefault="00C27552" w:rsidP="00C7484E">
            <w:pPr>
              <w:rPr>
                <w:b/>
                <w:bCs/>
              </w:rPr>
            </w:pPr>
          </w:p>
          <w:p w14:paraId="6C06270A" w14:textId="77777777" w:rsidR="00C27552" w:rsidRDefault="00C27552" w:rsidP="00C7484E">
            <w:pPr>
              <w:rPr>
                <w:b/>
                <w:bCs/>
              </w:rPr>
            </w:pPr>
          </w:p>
          <w:p w14:paraId="4314969B" w14:textId="77777777" w:rsidR="00C27552" w:rsidRPr="001F0FB3" w:rsidRDefault="00C27552" w:rsidP="00C7484E">
            <w:pPr>
              <w:rPr>
                <w:b/>
                <w:bCs/>
              </w:rPr>
            </w:pPr>
            <w:r w:rsidRPr="001F0FB3">
              <w:rPr>
                <w:b/>
                <w:bCs/>
              </w:rPr>
              <w:t>Record the compound(s) that have recovery data out of criteria and control limits. Review surrogate and LCS data to determine if qualification is necessary:</w:t>
            </w:r>
          </w:p>
        </w:tc>
      </w:tr>
      <w:tr w:rsidR="00C27552" w:rsidRPr="00DC4965" w14:paraId="31CAFB7F" w14:textId="77777777" w:rsidTr="00C7484E">
        <w:tc>
          <w:tcPr>
            <w:tcW w:w="4675" w:type="dxa"/>
            <w:shd w:val="clear" w:color="auto" w:fill="D9D9D9" w:themeFill="background1" w:themeFillShade="D9"/>
          </w:tcPr>
          <w:p w14:paraId="1897DE4B" w14:textId="7DAB6258" w:rsidR="00C27552" w:rsidRDefault="008C42EA" w:rsidP="00C7484E">
            <w:r>
              <w:t>4</w:t>
            </w:r>
            <w:r w:rsidR="00C27552">
              <w:t xml:space="preserve">.3.4 </w:t>
            </w:r>
            <w:r w:rsidR="00C27552" w:rsidRPr="00AA12CE">
              <w:t xml:space="preserve">Verify the calculations for at least one </w:t>
            </w:r>
            <w:r w:rsidR="00C27552">
              <w:t>RPD</w:t>
            </w:r>
            <w:r w:rsidR="00C27552" w:rsidRPr="00AA12CE">
              <w:t>.</w:t>
            </w:r>
          </w:p>
          <w:p w14:paraId="153794ED" w14:textId="77777777" w:rsidR="00C27552" w:rsidRDefault="00C27552" w:rsidP="00C7484E"/>
          <w:p w14:paraId="10590BFC" w14:textId="77777777" w:rsidR="00C27552" w:rsidRDefault="00C27552" w:rsidP="00C7484E">
            <w:r>
              <w:t>RPD</w:t>
            </w:r>
          </w:p>
          <w:p w14:paraId="432D8BC0" w14:textId="77777777" w:rsidR="00C27552" w:rsidRPr="00FB6D7E" w:rsidRDefault="00C27552" w:rsidP="00C7484E">
            <w:pPr>
              <w:jc w:val="center"/>
              <w:rPr>
                <w:rFonts w:ascii="Cambria Math" w:eastAsiaTheme="minorEastAsia" w:hAnsi="Cambria Math" w:cstheme="minorHAnsi"/>
              </w:rPr>
            </w:pPr>
            <w:r w:rsidRPr="00FB6D7E">
              <w:rPr>
                <w:rFonts w:ascii="Cambria Math" w:eastAsiaTheme="minorEastAsia" w:hAnsi="Cambria Math" w:cstheme="minorHAnsi"/>
              </w:rPr>
              <w:t>RPD=</w:t>
            </w:r>
            <m:oMath>
              <m:f>
                <m:fPr>
                  <m:ctrlPr>
                    <w:rPr>
                      <w:rFonts w:ascii="Cambria Math" w:hAnsi="Cambria Math" w:cstheme="minorHAnsi"/>
                      <w:i/>
                    </w:rPr>
                  </m:ctrlPr>
                </m:fPr>
                <m:num>
                  <m:d>
                    <m:dPr>
                      <m:begChr m:val="|"/>
                      <m:endChr m:val="|"/>
                      <m:ctrlPr>
                        <w:rPr>
                          <w:rFonts w:ascii="Cambria Math" w:hAnsi="Cambria Math" w:cstheme="minorHAnsi"/>
                          <w:i/>
                        </w:rPr>
                      </m:ctrlPr>
                    </m:dPr>
                    <m:e>
                      <m:r>
                        <w:rPr>
                          <w:rFonts w:ascii="Cambria Math" w:hAnsi="Cambria Math" w:cstheme="minorHAnsi"/>
                        </w:rPr>
                        <m:t>MSR-MSDR</m:t>
                      </m:r>
                    </m:e>
                  </m:d>
                </m:num>
                <m:den>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MSR+MSDR</m:t>
                          </m:r>
                        </m:num>
                        <m:den>
                          <m:r>
                            <w:rPr>
                              <w:rFonts w:ascii="Cambria Math" w:hAnsi="Cambria Math" w:cstheme="minorHAnsi"/>
                            </w:rPr>
                            <m:t>2</m:t>
                          </m:r>
                        </m:den>
                      </m:f>
                    </m:e>
                  </m:d>
                </m:den>
              </m:f>
            </m:oMath>
            <w:r w:rsidRPr="00FB6D7E">
              <w:rPr>
                <w:rFonts w:ascii="Cambria Math" w:eastAsiaTheme="minorEastAsia" w:hAnsi="Cambria Math" w:cstheme="minorHAnsi"/>
              </w:rPr>
              <w:t xml:space="preserve"> x 100</w:t>
            </w:r>
          </w:p>
          <w:p w14:paraId="45573059" w14:textId="77777777" w:rsidR="00C27552" w:rsidRDefault="00C27552" w:rsidP="00C7484E"/>
          <w:p w14:paraId="3CE699E1" w14:textId="77777777" w:rsidR="00C27552" w:rsidRPr="0084457D" w:rsidRDefault="00C27552" w:rsidP="00C7484E">
            <w:r>
              <w:t>Where:</w:t>
            </w:r>
          </w:p>
          <w:p w14:paraId="75AA1484" w14:textId="77777777" w:rsidR="00C27552" w:rsidRDefault="00C27552" w:rsidP="00C7484E">
            <w:pPr>
              <w:ind w:left="720" w:hanging="720"/>
            </w:pPr>
            <w:r>
              <w:t>MSR= Matrix spike result for the spiking analyte in the MS sample</w:t>
            </w:r>
          </w:p>
          <w:p w14:paraId="18E20C9C" w14:textId="77777777" w:rsidR="00C27552" w:rsidRPr="0069370F" w:rsidRDefault="00C27552" w:rsidP="00C7484E">
            <w:r>
              <w:lastRenderedPageBreak/>
              <w:t>MSDR= Matrix spike result for the spiking analyte in the MSD sample</w:t>
            </w:r>
          </w:p>
        </w:tc>
        <w:tc>
          <w:tcPr>
            <w:tcW w:w="4675" w:type="dxa"/>
          </w:tcPr>
          <w:p w14:paraId="330A6B81" w14:textId="77777777" w:rsidR="00C27552" w:rsidRPr="00DC4965" w:rsidRDefault="00C27552" w:rsidP="00C7484E">
            <w:pPr>
              <w:rPr>
                <w:b/>
                <w:bCs/>
              </w:rPr>
            </w:pPr>
            <w:r>
              <w:rPr>
                <w:b/>
                <w:bCs/>
              </w:rPr>
              <w:lastRenderedPageBreak/>
              <w:t>Show results of verified RPD calculation:</w:t>
            </w:r>
          </w:p>
        </w:tc>
      </w:tr>
    </w:tbl>
    <w:p w14:paraId="531F037D" w14:textId="77777777" w:rsidR="00C27552" w:rsidRDefault="00C27552" w:rsidP="00C27552"/>
    <w:tbl>
      <w:tblPr>
        <w:tblStyle w:val="TableGrid"/>
        <w:tblW w:w="0" w:type="auto"/>
        <w:tblLook w:val="04A0" w:firstRow="1" w:lastRow="0" w:firstColumn="1" w:lastColumn="0" w:noHBand="0" w:noVBand="1"/>
      </w:tblPr>
      <w:tblGrid>
        <w:gridCol w:w="4675"/>
        <w:gridCol w:w="4675"/>
      </w:tblGrid>
      <w:tr w:rsidR="00C27552" w14:paraId="0BC4FED9" w14:textId="77777777" w:rsidTr="04C4022F">
        <w:trPr>
          <w:tblHeader/>
        </w:trPr>
        <w:tc>
          <w:tcPr>
            <w:tcW w:w="9350" w:type="dxa"/>
            <w:gridSpan w:val="2"/>
            <w:shd w:val="clear" w:color="auto" w:fill="D9D9D9" w:themeFill="background1" w:themeFillShade="D9"/>
          </w:tcPr>
          <w:p w14:paraId="67D5AFC5" w14:textId="278CAC90" w:rsidR="00C27552" w:rsidRPr="00550A5C" w:rsidRDefault="008C42EA" w:rsidP="00C7484E">
            <w:pPr>
              <w:rPr>
                <w:b/>
                <w:bCs/>
              </w:rPr>
            </w:pPr>
            <w:r>
              <w:rPr>
                <w:b/>
                <w:bCs/>
              </w:rPr>
              <w:t>4</w:t>
            </w:r>
            <w:r w:rsidR="00C27552" w:rsidRPr="00550A5C">
              <w:rPr>
                <w:b/>
                <w:bCs/>
              </w:rPr>
              <w:t>.4</w:t>
            </w:r>
            <w:r w:rsidR="00C27552" w:rsidRPr="00550A5C">
              <w:rPr>
                <w:b/>
                <w:bCs/>
              </w:rPr>
              <w:tab/>
            </w:r>
            <w:r w:rsidR="00C27552" w:rsidRPr="006620B8">
              <w:rPr>
                <w:b/>
                <w:bCs/>
              </w:rPr>
              <w:t xml:space="preserve">Semi-Volatile Data Review - </w:t>
            </w:r>
            <w:r w:rsidR="00C27552" w:rsidRPr="00550A5C">
              <w:rPr>
                <w:b/>
                <w:bCs/>
              </w:rPr>
              <w:t>Surrogate Recovery</w:t>
            </w:r>
          </w:p>
        </w:tc>
      </w:tr>
      <w:tr w:rsidR="00C27552" w14:paraId="00468CD7" w14:textId="77777777" w:rsidTr="04C4022F">
        <w:tc>
          <w:tcPr>
            <w:tcW w:w="9350" w:type="dxa"/>
            <w:gridSpan w:val="2"/>
            <w:shd w:val="clear" w:color="auto" w:fill="D9D9D9" w:themeFill="background1" w:themeFillShade="D9"/>
          </w:tcPr>
          <w:p w14:paraId="1F717BFD" w14:textId="77777777" w:rsidR="00C27552" w:rsidRPr="00550A5C" w:rsidRDefault="00C27552" w:rsidP="00C7484E">
            <w:pPr>
              <w:rPr>
                <w:b/>
                <w:bCs/>
              </w:rPr>
            </w:pPr>
            <w:r w:rsidRPr="00550A5C">
              <w:rPr>
                <w:b/>
                <w:bCs/>
              </w:rPr>
              <w:t>Surrogate compounds are spiked compounds of known composition and concentration that are added to samples and blanks.  Surrogates are compounds that mimic target analytes but are either compounds that are not commonly found in the environment or that have been altered (e.g., “</w:t>
            </w:r>
            <w:proofErr w:type="spellStart"/>
            <w:r w:rsidRPr="00550A5C">
              <w:rPr>
                <w:b/>
                <w:bCs/>
              </w:rPr>
              <w:t>deuterized</w:t>
            </w:r>
            <w:proofErr w:type="spellEnd"/>
            <w:r w:rsidRPr="00550A5C">
              <w:rPr>
                <w:b/>
                <w:bCs/>
              </w:rPr>
              <w:t>”) so that they can be identified as quality QA analytes.  The recovery of surrogate compounds allows an assessment of matrix interference.  SVOC analyses include compounds that can be divided into two classes: acid compounds and base/neutral compounds.  Each class has a specific assigned set of surrogate compounds.  The list of compounds can be found in the data validation guidance manual or SW-846, Method 8270</w:t>
            </w:r>
            <w:r>
              <w:rPr>
                <w:b/>
                <w:bCs/>
              </w:rPr>
              <w:t>E</w:t>
            </w:r>
            <w:r w:rsidRPr="00550A5C">
              <w:rPr>
                <w:b/>
                <w:bCs/>
              </w:rPr>
              <w:t xml:space="preserve">.  Data validation is also based upon the type of compound being analyzed.  SVOC surrogate recoveries are also used to justify re-analysis to confirm matrix interference, but the number of surrogate compounds out of compliance will justify qualification.  Specific examples are listed in the </w:t>
            </w:r>
            <w:r>
              <w:rPr>
                <w:b/>
                <w:bCs/>
              </w:rPr>
              <w:t>Tier I Data Validation Manual</w:t>
            </w:r>
            <w:r w:rsidRPr="00550A5C">
              <w:rPr>
                <w:b/>
                <w:bCs/>
              </w:rPr>
              <w:t>.</w:t>
            </w:r>
          </w:p>
          <w:p w14:paraId="5FAE5261" w14:textId="77777777" w:rsidR="00C27552" w:rsidRPr="00550A5C" w:rsidRDefault="00C27552" w:rsidP="00C7484E">
            <w:pPr>
              <w:rPr>
                <w:b/>
                <w:bCs/>
              </w:rPr>
            </w:pPr>
          </w:p>
          <w:p w14:paraId="3D9B394B" w14:textId="77777777" w:rsidR="00C27552" w:rsidRPr="00550A5C" w:rsidRDefault="00C27552" w:rsidP="00C7484E">
            <w:pPr>
              <w:rPr>
                <w:b/>
                <w:bCs/>
              </w:rPr>
            </w:pPr>
            <w:r w:rsidRPr="04C4022F">
              <w:rPr>
                <w:b/>
                <w:bCs/>
                <w:u w:val="single"/>
              </w:rPr>
              <w:t>Surrogate Compound</w:t>
            </w:r>
            <w:r>
              <w:tab/>
            </w:r>
            <w:r>
              <w:tab/>
            </w:r>
            <w:r w:rsidRPr="04C4022F">
              <w:rPr>
                <w:b/>
                <w:bCs/>
                <w:u w:val="single"/>
              </w:rPr>
              <w:t>Fraction</w:t>
            </w:r>
          </w:p>
          <w:p w14:paraId="06F1B4DC" w14:textId="77777777" w:rsidR="00C27552" w:rsidRPr="00550A5C" w:rsidRDefault="00C27552" w:rsidP="00C7484E">
            <w:pPr>
              <w:rPr>
                <w:b/>
                <w:bCs/>
              </w:rPr>
            </w:pPr>
            <w:r w:rsidRPr="00550A5C">
              <w:rPr>
                <w:b/>
                <w:bCs/>
              </w:rPr>
              <w:t>phenol-d6</w:t>
            </w:r>
            <w:r w:rsidRPr="00550A5C">
              <w:rPr>
                <w:b/>
                <w:bCs/>
              </w:rPr>
              <w:tab/>
            </w:r>
            <w:r w:rsidRPr="00550A5C">
              <w:rPr>
                <w:b/>
                <w:bCs/>
              </w:rPr>
              <w:tab/>
            </w:r>
            <w:r w:rsidRPr="00550A5C">
              <w:rPr>
                <w:b/>
                <w:bCs/>
              </w:rPr>
              <w:tab/>
              <w:t>Acid</w:t>
            </w:r>
          </w:p>
          <w:p w14:paraId="01B421C2" w14:textId="77777777" w:rsidR="00C27552" w:rsidRPr="00550A5C" w:rsidRDefault="00C27552" w:rsidP="00C7484E">
            <w:pPr>
              <w:rPr>
                <w:b/>
                <w:bCs/>
              </w:rPr>
            </w:pPr>
            <w:r w:rsidRPr="00550A5C">
              <w:rPr>
                <w:b/>
                <w:bCs/>
              </w:rPr>
              <w:t>2-fluorophenol</w:t>
            </w:r>
            <w:r w:rsidRPr="00550A5C">
              <w:rPr>
                <w:b/>
                <w:bCs/>
              </w:rPr>
              <w:tab/>
            </w:r>
            <w:r w:rsidRPr="00550A5C">
              <w:rPr>
                <w:b/>
                <w:bCs/>
              </w:rPr>
              <w:tab/>
            </w:r>
            <w:r w:rsidRPr="00550A5C">
              <w:rPr>
                <w:b/>
                <w:bCs/>
              </w:rPr>
              <w:tab/>
              <w:t>Acid</w:t>
            </w:r>
          </w:p>
          <w:p w14:paraId="767FCE0A" w14:textId="77777777" w:rsidR="00C27552" w:rsidRPr="00550A5C" w:rsidRDefault="00C27552" w:rsidP="00C7484E">
            <w:pPr>
              <w:rPr>
                <w:b/>
                <w:bCs/>
              </w:rPr>
            </w:pPr>
            <w:r w:rsidRPr="00550A5C">
              <w:rPr>
                <w:b/>
                <w:bCs/>
              </w:rPr>
              <w:t>2,4,6-tribromophenol</w:t>
            </w:r>
            <w:r w:rsidRPr="00550A5C">
              <w:rPr>
                <w:b/>
                <w:bCs/>
              </w:rPr>
              <w:tab/>
            </w:r>
            <w:r w:rsidRPr="00550A5C">
              <w:rPr>
                <w:b/>
                <w:bCs/>
              </w:rPr>
              <w:tab/>
              <w:t>Acid</w:t>
            </w:r>
          </w:p>
          <w:p w14:paraId="2010492D" w14:textId="77777777" w:rsidR="00C27552" w:rsidRPr="00550A5C" w:rsidRDefault="00C27552" w:rsidP="00C7484E">
            <w:pPr>
              <w:rPr>
                <w:b/>
                <w:bCs/>
              </w:rPr>
            </w:pPr>
            <w:r w:rsidRPr="00550A5C">
              <w:rPr>
                <w:b/>
                <w:bCs/>
              </w:rPr>
              <w:t>nitrobenzene-d</w:t>
            </w:r>
            <w:r w:rsidRPr="00550A5C">
              <w:rPr>
                <w:b/>
                <w:bCs/>
                <w:vertAlign w:val="subscript"/>
              </w:rPr>
              <w:t>5</w:t>
            </w:r>
            <w:r w:rsidRPr="00550A5C">
              <w:rPr>
                <w:b/>
                <w:bCs/>
              </w:rPr>
              <w:tab/>
            </w:r>
            <w:r w:rsidRPr="00550A5C">
              <w:rPr>
                <w:b/>
                <w:bCs/>
              </w:rPr>
              <w:tab/>
              <w:t>Base/Neutral</w:t>
            </w:r>
          </w:p>
          <w:p w14:paraId="2BD41159" w14:textId="77777777" w:rsidR="00C27552" w:rsidRPr="00550A5C" w:rsidRDefault="00C27552" w:rsidP="00C7484E">
            <w:pPr>
              <w:rPr>
                <w:b/>
                <w:bCs/>
              </w:rPr>
            </w:pPr>
            <w:r w:rsidRPr="00550A5C">
              <w:rPr>
                <w:b/>
                <w:bCs/>
              </w:rPr>
              <w:t>2-fluorobiphenyl</w:t>
            </w:r>
            <w:r w:rsidRPr="00550A5C">
              <w:rPr>
                <w:b/>
                <w:bCs/>
              </w:rPr>
              <w:tab/>
            </w:r>
            <w:r w:rsidRPr="00550A5C">
              <w:rPr>
                <w:b/>
                <w:bCs/>
              </w:rPr>
              <w:tab/>
              <w:t>Base/Neutral</w:t>
            </w:r>
          </w:p>
          <w:p w14:paraId="01AA608C" w14:textId="77777777" w:rsidR="00C27552" w:rsidRPr="00550A5C" w:rsidRDefault="00C27552" w:rsidP="00C7484E">
            <w:pPr>
              <w:rPr>
                <w:b/>
                <w:bCs/>
              </w:rPr>
            </w:pPr>
            <w:r w:rsidRPr="00550A5C">
              <w:rPr>
                <w:b/>
                <w:bCs/>
              </w:rPr>
              <w:t>p-terphenyl-d</w:t>
            </w:r>
            <w:r w:rsidRPr="00550A5C">
              <w:rPr>
                <w:b/>
                <w:bCs/>
                <w:vertAlign w:val="subscript"/>
              </w:rPr>
              <w:t>14</w:t>
            </w:r>
            <w:r w:rsidRPr="00550A5C">
              <w:rPr>
                <w:b/>
                <w:bCs/>
              </w:rPr>
              <w:tab/>
            </w:r>
            <w:r w:rsidRPr="00550A5C">
              <w:rPr>
                <w:b/>
                <w:bCs/>
              </w:rPr>
              <w:tab/>
            </w:r>
            <w:r w:rsidRPr="00550A5C">
              <w:rPr>
                <w:b/>
                <w:bCs/>
              </w:rPr>
              <w:tab/>
              <w:t>Base/Neutral</w:t>
            </w:r>
          </w:p>
        </w:tc>
      </w:tr>
      <w:tr w:rsidR="00C27552" w14:paraId="2C09D248" w14:textId="77777777" w:rsidTr="04C4022F">
        <w:tc>
          <w:tcPr>
            <w:tcW w:w="4675" w:type="dxa"/>
            <w:shd w:val="clear" w:color="auto" w:fill="D9D9D9" w:themeFill="background1" w:themeFillShade="D9"/>
          </w:tcPr>
          <w:p w14:paraId="2D95CD81" w14:textId="4DD95D0A" w:rsidR="00C27552" w:rsidRDefault="008C42EA" w:rsidP="00C7484E">
            <w:r>
              <w:t>4</w:t>
            </w:r>
            <w:r w:rsidR="00C27552">
              <w:t>.4.1</w:t>
            </w:r>
            <w:r w:rsidR="00C27552">
              <w:tab/>
              <w:t>Are the surrogate recovery data present for each batch (method and matrix), including TCLP?</w:t>
            </w:r>
          </w:p>
          <w:p w14:paraId="66F99D94" w14:textId="77777777" w:rsidR="00C27552" w:rsidRDefault="00C27552" w:rsidP="00C7484E"/>
          <w:p w14:paraId="111F30E7" w14:textId="77777777" w:rsidR="00C27552" w:rsidRPr="00DA192B" w:rsidRDefault="00C27552" w:rsidP="00C7484E">
            <w:pPr>
              <w:rPr>
                <w:b/>
                <w:bCs/>
              </w:rPr>
            </w:pPr>
            <w:r w:rsidRPr="00DA192B">
              <w:rPr>
                <w:b/>
                <w:bCs/>
              </w:rPr>
              <w:t>Note: Samples may be included in separate sample batches and separate surrogate recoveries should be provided.</w:t>
            </w:r>
          </w:p>
          <w:p w14:paraId="74A3C43D" w14:textId="77777777" w:rsidR="00C27552" w:rsidRDefault="00C27552" w:rsidP="00C7484E"/>
          <w:p w14:paraId="49AC4C73" w14:textId="7F9E6F04" w:rsidR="00C27552" w:rsidRPr="008A7EBF" w:rsidRDefault="00C27552" w:rsidP="00C7484E">
            <w:pPr>
              <w:rPr>
                <w:i/>
                <w:iCs/>
              </w:rPr>
            </w:pPr>
            <w:r w:rsidRPr="008A7EBF">
              <w:rPr>
                <w:i/>
                <w:iCs/>
              </w:rPr>
              <w:t xml:space="preserve">Action: If no, contact the laboratory </w:t>
            </w:r>
            <w:r w:rsidR="008A40E1" w:rsidRPr="5352CC54">
              <w:rPr>
                <w:i/>
                <w:iCs/>
              </w:rPr>
              <w:t>or applicable party</w:t>
            </w:r>
            <w:r w:rsidRPr="5352CC54">
              <w:rPr>
                <w:i/>
                <w:iCs/>
              </w:rPr>
              <w:t xml:space="preserve"> </w:t>
            </w:r>
            <w:r w:rsidRPr="008A7EBF">
              <w:rPr>
                <w:i/>
                <w:iCs/>
              </w:rPr>
              <w:t>for explanation and re-submittals.</w:t>
            </w:r>
          </w:p>
        </w:tc>
        <w:tc>
          <w:tcPr>
            <w:tcW w:w="4675" w:type="dxa"/>
          </w:tcPr>
          <w:p w14:paraId="71FDAE04" w14:textId="77777777" w:rsidR="00C27552" w:rsidRPr="00F46733" w:rsidRDefault="00C27552" w:rsidP="00C7484E">
            <w:pPr>
              <w:rPr>
                <w:b/>
              </w:rPr>
            </w:pPr>
            <w:r w:rsidRPr="00F46733">
              <w:rPr>
                <w:b/>
              </w:rPr>
              <w:t>Indicate yes or no:</w:t>
            </w:r>
          </w:p>
        </w:tc>
      </w:tr>
      <w:tr w:rsidR="00C27552" w14:paraId="4FA6EDE1" w14:textId="77777777" w:rsidTr="04C4022F">
        <w:tc>
          <w:tcPr>
            <w:tcW w:w="4675" w:type="dxa"/>
            <w:shd w:val="clear" w:color="auto" w:fill="D9D9D9" w:themeFill="background1" w:themeFillShade="D9"/>
          </w:tcPr>
          <w:p w14:paraId="0FD4CD54" w14:textId="0D3D2467" w:rsidR="00C27552" w:rsidRDefault="008C42EA" w:rsidP="00C7484E">
            <w:r>
              <w:t>4</w:t>
            </w:r>
            <w:r w:rsidR="00C27552">
              <w:t>.4.2</w:t>
            </w:r>
            <w:r w:rsidR="00C27552">
              <w:tab/>
            </w:r>
            <w:r w:rsidR="00C27552" w:rsidRPr="000F6720">
              <w:t>Are any surrogate recoveries outside the QC limits?</w:t>
            </w:r>
          </w:p>
          <w:p w14:paraId="71D5D9B1" w14:textId="77777777" w:rsidR="00C27552" w:rsidRDefault="00C27552" w:rsidP="00C7484E"/>
          <w:p w14:paraId="340D54C3" w14:textId="77777777" w:rsidR="00C27552" w:rsidRDefault="00C27552" w:rsidP="00C7484E">
            <m:oMathPara>
              <m:oMath>
                <m:r>
                  <w:rPr>
                    <w:rFonts w:ascii="Cambria Math" w:hAnsi="Cambria Math"/>
                    <w:sz w:val="20"/>
                    <w:szCs w:val="20"/>
                  </w:rPr>
                  <m:t xml:space="preserve">Recovery % = </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Concentration found</m:t>
                        </m:r>
                      </m:e>
                    </m:d>
                  </m:num>
                  <m:den>
                    <m:d>
                      <m:dPr>
                        <m:ctrlPr>
                          <w:rPr>
                            <w:rFonts w:ascii="Cambria Math" w:hAnsi="Cambria Math"/>
                            <w:i/>
                            <w:sz w:val="20"/>
                            <w:szCs w:val="20"/>
                          </w:rPr>
                        </m:ctrlPr>
                      </m:dPr>
                      <m:e>
                        <m:r>
                          <w:rPr>
                            <w:rFonts w:ascii="Cambria Math" w:hAnsi="Cambria Math"/>
                            <w:sz w:val="20"/>
                            <w:szCs w:val="20"/>
                          </w:rPr>
                          <m:t>Concentration  added</m:t>
                        </m:r>
                      </m:e>
                    </m:d>
                  </m:den>
                </m:f>
                <m:r>
                  <w:rPr>
                    <w:rFonts w:ascii="Cambria Math" w:hAnsi="Cambria Math"/>
                    <w:sz w:val="20"/>
                    <w:szCs w:val="20"/>
                  </w:rPr>
                  <m:t xml:space="preserve"> ×100</m:t>
                </m:r>
              </m:oMath>
            </m:oMathPara>
          </w:p>
          <w:p w14:paraId="7E79813F" w14:textId="77777777" w:rsidR="00C27552" w:rsidRDefault="00C27552" w:rsidP="00C7484E"/>
          <w:p w14:paraId="166047DF" w14:textId="77777777" w:rsidR="00C27552" w:rsidRPr="007F34A2" w:rsidRDefault="00C27552" w:rsidP="00C7484E">
            <w:pPr>
              <w:rPr>
                <w:rFonts w:eastAsiaTheme="minorEastAsia"/>
              </w:rPr>
            </w:pPr>
            <w:r>
              <w:rPr>
                <w:b/>
                <w:bCs/>
              </w:rPr>
              <w:t xml:space="preserve">Note: </w:t>
            </w:r>
            <w:r w:rsidRPr="00846911">
              <w:rPr>
                <w:b/>
                <w:bCs/>
              </w:rPr>
              <w:t xml:space="preserve">Suggested surrogate recovery limits are 70 to 130% until laboratory or project-specific criteria </w:t>
            </w:r>
            <w:r>
              <w:rPr>
                <w:b/>
                <w:bCs/>
              </w:rPr>
              <w:t>are</w:t>
            </w:r>
            <w:r w:rsidRPr="00846911">
              <w:rPr>
                <w:b/>
                <w:bCs/>
              </w:rPr>
              <w:t xml:space="preserve"> developed. </w:t>
            </w:r>
            <w:r>
              <w:rPr>
                <w:b/>
                <w:bCs/>
              </w:rPr>
              <w:t>QC l</w:t>
            </w:r>
            <w:r w:rsidRPr="00846911">
              <w:rPr>
                <w:b/>
                <w:bCs/>
              </w:rPr>
              <w:t>imits will depend on the surrogates chosen, levels used, and instrument conditions.</w:t>
            </w:r>
            <w:r>
              <w:rPr>
                <w:b/>
                <w:bCs/>
              </w:rPr>
              <w:t xml:space="preserve"> </w:t>
            </w:r>
            <w:r w:rsidRPr="00DC4965">
              <w:rPr>
                <w:b/>
                <w:bCs/>
              </w:rPr>
              <w:t>Acceptance criteria is guidance.</w:t>
            </w:r>
          </w:p>
          <w:p w14:paraId="06B204C4" w14:textId="77777777" w:rsidR="00C27552" w:rsidRDefault="00C27552" w:rsidP="00C7484E"/>
          <w:p w14:paraId="766D8301" w14:textId="77777777" w:rsidR="00C27552" w:rsidRPr="008D56F0" w:rsidRDefault="00C27552" w:rsidP="00C7484E">
            <w:pPr>
              <w:rPr>
                <w:i/>
                <w:iCs/>
              </w:rPr>
            </w:pPr>
            <w:r w:rsidRPr="008D56F0">
              <w:rPr>
                <w:i/>
                <w:iCs/>
              </w:rPr>
              <w:t xml:space="preserve">Action: </w:t>
            </w:r>
            <w:r>
              <w:rPr>
                <w:i/>
                <w:iCs/>
              </w:rPr>
              <w:t>Identify samples with recoveries outside QC limits</w:t>
            </w:r>
            <w:r w:rsidRPr="00E24622">
              <w:rPr>
                <w:i/>
                <w:iCs/>
              </w:rPr>
              <w:t>.</w:t>
            </w:r>
          </w:p>
        </w:tc>
        <w:tc>
          <w:tcPr>
            <w:tcW w:w="4675" w:type="dxa"/>
          </w:tcPr>
          <w:p w14:paraId="6247B938" w14:textId="59CDD38C" w:rsidR="00C27552" w:rsidRPr="00F46733" w:rsidRDefault="00C27552" w:rsidP="00C7484E">
            <w:pPr>
              <w:rPr>
                <w:b/>
              </w:rPr>
            </w:pPr>
            <w:r w:rsidRPr="00F46733">
              <w:rPr>
                <w:b/>
              </w:rPr>
              <w:lastRenderedPageBreak/>
              <w:t>Indicate yes or no and then list the sample ID(s), matrix(-</w:t>
            </w:r>
            <w:proofErr w:type="spellStart"/>
            <w:r w:rsidRPr="00F46733">
              <w:rPr>
                <w:b/>
              </w:rPr>
              <w:t>ces</w:t>
            </w:r>
            <w:proofErr w:type="spellEnd"/>
            <w:r w:rsidRPr="5352CC54">
              <w:rPr>
                <w:b/>
                <w:bCs/>
              </w:rPr>
              <w:t>)</w:t>
            </w:r>
            <w:r w:rsidR="62FADAD5" w:rsidRPr="5352CC54">
              <w:rPr>
                <w:b/>
                <w:bCs/>
              </w:rPr>
              <w:t>,</w:t>
            </w:r>
            <w:r w:rsidRPr="00F46733">
              <w:rPr>
                <w:b/>
              </w:rPr>
              <w:t xml:space="preserve"> and parameter(s) </w:t>
            </w:r>
            <w:r w:rsidR="03A8683D" w:rsidRPr="5352CC54">
              <w:rPr>
                <w:b/>
                <w:bCs/>
              </w:rPr>
              <w:t>that are outside QC limits</w:t>
            </w:r>
            <w:r w:rsidRPr="00F46733">
              <w:rPr>
                <w:b/>
              </w:rPr>
              <w:t>:</w:t>
            </w:r>
          </w:p>
          <w:p w14:paraId="74997CEC" w14:textId="77777777" w:rsidR="00C27552" w:rsidRDefault="00C27552" w:rsidP="00C7484E"/>
          <w:p w14:paraId="3F5A52EF" w14:textId="77777777" w:rsidR="00C27552" w:rsidRDefault="00C27552" w:rsidP="00C7484E"/>
          <w:p w14:paraId="072C7591" w14:textId="77777777" w:rsidR="00C27552" w:rsidRDefault="00C27552" w:rsidP="00C7484E"/>
        </w:tc>
      </w:tr>
      <w:tr w:rsidR="00C27552" w:rsidRPr="00F46733" w14:paraId="2A98BA52" w14:textId="77777777" w:rsidTr="04C4022F">
        <w:tc>
          <w:tcPr>
            <w:tcW w:w="4675" w:type="dxa"/>
            <w:shd w:val="clear" w:color="auto" w:fill="D9D9D9" w:themeFill="background1" w:themeFillShade="D9"/>
          </w:tcPr>
          <w:p w14:paraId="52009F0A" w14:textId="71FE9C8D" w:rsidR="00C27552" w:rsidRDefault="008C42EA" w:rsidP="00C7484E">
            <w:r>
              <w:t>4</w:t>
            </w:r>
            <w:r w:rsidR="00C27552">
              <w:t xml:space="preserve">.4.3 </w:t>
            </w:r>
            <w:r w:rsidR="00C27552" w:rsidRPr="00AA12CE">
              <w:t>Verify the calculations for at least one %R.</w:t>
            </w:r>
          </w:p>
          <w:p w14:paraId="7CE2155A" w14:textId="77777777" w:rsidR="00C27552" w:rsidRDefault="00C27552" w:rsidP="00C7484E"/>
          <w:p w14:paraId="085A0BEB" w14:textId="77777777" w:rsidR="00C27552" w:rsidRPr="00F64C28" w:rsidRDefault="00C27552" w:rsidP="00C7484E">
            <w:pPr>
              <w:rPr>
                <w:rFonts w:eastAsiaTheme="minorEastAsia"/>
                <w:sz w:val="20"/>
                <w:szCs w:val="20"/>
              </w:rPr>
            </w:pPr>
            <m:oMathPara>
              <m:oMath>
                <m:r>
                  <w:rPr>
                    <w:rFonts w:ascii="Cambria Math" w:hAnsi="Cambria Math"/>
                    <w:sz w:val="20"/>
                    <w:szCs w:val="20"/>
                  </w:rPr>
                  <m:t xml:space="preserve">Recovery % = </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Concentration found</m:t>
                        </m:r>
                      </m:e>
                    </m:d>
                  </m:num>
                  <m:den>
                    <m:d>
                      <m:dPr>
                        <m:ctrlPr>
                          <w:rPr>
                            <w:rFonts w:ascii="Cambria Math" w:hAnsi="Cambria Math"/>
                            <w:i/>
                            <w:sz w:val="20"/>
                            <w:szCs w:val="20"/>
                          </w:rPr>
                        </m:ctrlPr>
                      </m:dPr>
                      <m:e>
                        <m:r>
                          <w:rPr>
                            <w:rFonts w:ascii="Cambria Math" w:hAnsi="Cambria Math"/>
                            <w:sz w:val="20"/>
                            <w:szCs w:val="20"/>
                          </w:rPr>
                          <m:t>Concentration  added</m:t>
                        </m:r>
                      </m:e>
                    </m:d>
                  </m:den>
                </m:f>
                <m:r>
                  <w:rPr>
                    <w:rFonts w:ascii="Cambria Math" w:hAnsi="Cambria Math"/>
                    <w:sz w:val="20"/>
                    <w:szCs w:val="20"/>
                  </w:rPr>
                  <m:t xml:space="preserve"> ×100</m:t>
                </m:r>
              </m:oMath>
            </m:oMathPara>
          </w:p>
          <w:p w14:paraId="0187F158" w14:textId="77777777" w:rsidR="00C27552" w:rsidRPr="00AA7903" w:rsidRDefault="00C27552" w:rsidP="00C7484E"/>
        </w:tc>
        <w:tc>
          <w:tcPr>
            <w:tcW w:w="4675" w:type="dxa"/>
          </w:tcPr>
          <w:p w14:paraId="57426E92" w14:textId="77777777" w:rsidR="00C27552" w:rsidRPr="00F46733" w:rsidRDefault="00C27552" w:rsidP="00C7484E">
            <w:pPr>
              <w:rPr>
                <w:b/>
                <w:bCs/>
              </w:rPr>
            </w:pPr>
            <w:r>
              <w:rPr>
                <w:b/>
                <w:bCs/>
              </w:rPr>
              <w:t>Show results of verified %R calculation:</w:t>
            </w:r>
          </w:p>
        </w:tc>
      </w:tr>
      <w:tr w:rsidR="00C27552" w14:paraId="71AA12CE" w14:textId="77777777" w:rsidTr="04C4022F">
        <w:tc>
          <w:tcPr>
            <w:tcW w:w="4675" w:type="dxa"/>
            <w:shd w:val="clear" w:color="auto" w:fill="D9D9D9" w:themeFill="background1" w:themeFillShade="D9"/>
          </w:tcPr>
          <w:p w14:paraId="4030B494" w14:textId="1F172727" w:rsidR="00C27552" w:rsidRDefault="008C42EA" w:rsidP="00C7484E">
            <w:r>
              <w:t>4</w:t>
            </w:r>
            <w:r w:rsidR="00C27552">
              <w:t>.4.4</w:t>
            </w:r>
            <w:r w:rsidR="00C27552">
              <w:tab/>
              <w:t>Were any TWO surrogate compounds in either the acid or base/neutral fractions out of compliance</w:t>
            </w:r>
            <w:r w:rsidR="637F0CF7">
              <w:t>?</w:t>
            </w:r>
            <w:r w:rsidR="00C27552">
              <w:t xml:space="preserve"> </w:t>
            </w:r>
            <w:r w:rsidR="1BBD5BC5">
              <w:t>W</w:t>
            </w:r>
            <w:r w:rsidR="00C27552">
              <w:t xml:space="preserve">as re-analysis performed to confirm a matrix interference? </w:t>
            </w:r>
          </w:p>
          <w:p w14:paraId="278C74F9" w14:textId="77777777" w:rsidR="00C27552" w:rsidRDefault="00C27552" w:rsidP="00C7484E"/>
          <w:p w14:paraId="52703AD0" w14:textId="77777777" w:rsidR="00C27552" w:rsidRPr="006E67BC" w:rsidRDefault="00C27552" w:rsidP="00C7484E">
            <w:pPr>
              <w:rPr>
                <w:b/>
                <w:bCs/>
              </w:rPr>
            </w:pPr>
            <w:r w:rsidRPr="006E67BC">
              <w:rPr>
                <w:b/>
                <w:bCs/>
              </w:rPr>
              <w:t>Note: Check the report narrative for an indication of re-analysis.</w:t>
            </w:r>
          </w:p>
          <w:p w14:paraId="368D2CE8" w14:textId="77777777" w:rsidR="00C27552" w:rsidRDefault="00C27552" w:rsidP="00C7484E"/>
          <w:p w14:paraId="610096F9" w14:textId="77777777" w:rsidR="00C27552" w:rsidRPr="006E67BC" w:rsidRDefault="00C27552" w:rsidP="00C7484E">
            <w:pPr>
              <w:rPr>
                <w:i/>
                <w:iCs/>
              </w:rPr>
            </w:pPr>
            <w:r w:rsidRPr="006E67BC">
              <w:rPr>
                <w:i/>
                <w:iCs/>
              </w:rPr>
              <w:t xml:space="preserve">Action: If no information is present, request information from the </w:t>
            </w:r>
            <w:r>
              <w:rPr>
                <w:i/>
                <w:iCs/>
              </w:rPr>
              <w:t>applicable party</w:t>
            </w:r>
            <w:r w:rsidRPr="006E67BC">
              <w:rPr>
                <w:i/>
                <w:iCs/>
              </w:rPr>
              <w:t xml:space="preserve"> or laboratory.</w:t>
            </w:r>
          </w:p>
        </w:tc>
        <w:tc>
          <w:tcPr>
            <w:tcW w:w="4675" w:type="dxa"/>
          </w:tcPr>
          <w:p w14:paraId="6EACAE5D" w14:textId="77777777" w:rsidR="00C27552" w:rsidRPr="00F46733" w:rsidRDefault="00C27552" w:rsidP="00C7484E">
            <w:pPr>
              <w:rPr>
                <w:b/>
              </w:rPr>
            </w:pPr>
            <w:r w:rsidRPr="00F46733">
              <w:rPr>
                <w:b/>
              </w:rPr>
              <w:t>List sample ID(s) for surrogate compounds out of compliance and criteria:</w:t>
            </w:r>
          </w:p>
        </w:tc>
      </w:tr>
      <w:tr w:rsidR="00C27552" w14:paraId="585B5CCC" w14:textId="77777777" w:rsidTr="04C4022F">
        <w:tc>
          <w:tcPr>
            <w:tcW w:w="4675" w:type="dxa"/>
            <w:shd w:val="clear" w:color="auto" w:fill="D9D9D9" w:themeFill="background1" w:themeFillShade="D9"/>
          </w:tcPr>
          <w:p w14:paraId="24A04DC4" w14:textId="06B0A0CB" w:rsidR="00C27552" w:rsidRDefault="008C42EA" w:rsidP="00C7484E">
            <w:r>
              <w:t>4</w:t>
            </w:r>
            <w:r w:rsidR="00C27552">
              <w:t>.4.</w:t>
            </w:r>
            <w:r>
              <w:t>5</w:t>
            </w:r>
            <w:r w:rsidR="00C27552">
              <w:tab/>
              <w:t xml:space="preserve">Were any surrogate recoveries less than 10% in either the acid or base/neutral fractions? </w:t>
            </w:r>
          </w:p>
          <w:p w14:paraId="34D42575" w14:textId="77777777" w:rsidR="00C27552" w:rsidRDefault="00C27552" w:rsidP="00C7484E"/>
          <w:p w14:paraId="49ADB765" w14:textId="77777777" w:rsidR="00C27552" w:rsidRDefault="00C27552" w:rsidP="00C7484E">
            <w:pPr>
              <w:rPr>
                <w:b/>
                <w:bCs/>
              </w:rPr>
            </w:pPr>
            <w:r w:rsidRPr="00F4236E">
              <w:rPr>
                <w:b/>
                <w:bCs/>
              </w:rPr>
              <w:t>Note: Check the report narrative for an indication of re-analysis.</w:t>
            </w:r>
          </w:p>
          <w:p w14:paraId="286178E2" w14:textId="77777777" w:rsidR="00C27552" w:rsidRDefault="00C27552" w:rsidP="00C7484E">
            <w:pPr>
              <w:rPr>
                <w:b/>
                <w:i/>
              </w:rPr>
            </w:pPr>
          </w:p>
          <w:p w14:paraId="3E672BC0" w14:textId="77777777" w:rsidR="00C27552" w:rsidRPr="0072699A" w:rsidRDefault="00C27552" w:rsidP="00C7484E">
            <w:pPr>
              <w:rPr>
                <w:i/>
              </w:rPr>
            </w:pPr>
            <w:r w:rsidRPr="00EA63C7">
              <w:rPr>
                <w:i/>
              </w:rPr>
              <w:t>Action:</w:t>
            </w:r>
            <w:r>
              <w:rPr>
                <w:i/>
              </w:rPr>
              <w:t xml:space="preserve"> </w:t>
            </w:r>
            <w:r w:rsidRPr="006E67BC">
              <w:rPr>
                <w:i/>
                <w:iCs/>
              </w:rPr>
              <w:t xml:space="preserve">If no information is present, request information from the </w:t>
            </w:r>
            <w:r>
              <w:rPr>
                <w:i/>
                <w:iCs/>
              </w:rPr>
              <w:t>applicable party</w:t>
            </w:r>
            <w:r w:rsidRPr="006E67BC">
              <w:rPr>
                <w:i/>
                <w:iCs/>
              </w:rPr>
              <w:t xml:space="preserve"> or laboratory.</w:t>
            </w:r>
          </w:p>
        </w:tc>
        <w:tc>
          <w:tcPr>
            <w:tcW w:w="4675" w:type="dxa"/>
          </w:tcPr>
          <w:p w14:paraId="170640B1" w14:textId="77777777" w:rsidR="00C27552" w:rsidRPr="00F46733" w:rsidRDefault="00C27552" w:rsidP="00C7484E">
            <w:pPr>
              <w:rPr>
                <w:b/>
              </w:rPr>
            </w:pPr>
            <w:r w:rsidRPr="00F46733">
              <w:rPr>
                <w:b/>
              </w:rPr>
              <w:t>List sample ID(s) for surrogate compounds out of compliance and criteria:</w:t>
            </w:r>
          </w:p>
          <w:p w14:paraId="65EC74E7" w14:textId="77777777" w:rsidR="00C27552" w:rsidRDefault="00C27552" w:rsidP="00C7484E"/>
          <w:p w14:paraId="3B4DC15F" w14:textId="77777777" w:rsidR="00C27552" w:rsidRDefault="00C27552" w:rsidP="00C7484E"/>
          <w:p w14:paraId="3100323A" w14:textId="77777777" w:rsidR="00C27552" w:rsidRDefault="00C27552" w:rsidP="00C7484E"/>
          <w:p w14:paraId="6F93B74E" w14:textId="77777777" w:rsidR="00C27552" w:rsidRDefault="00C27552" w:rsidP="00C7484E"/>
          <w:p w14:paraId="10EC1C2E" w14:textId="77777777" w:rsidR="00C27552" w:rsidRDefault="00C27552" w:rsidP="00C7484E"/>
          <w:p w14:paraId="4D01D977" w14:textId="77777777" w:rsidR="00C27552" w:rsidRDefault="00C27552" w:rsidP="00C7484E"/>
          <w:p w14:paraId="5B009261" w14:textId="77777777" w:rsidR="00C27552" w:rsidRDefault="00C27552" w:rsidP="00C7484E"/>
          <w:p w14:paraId="3FFC7F83" w14:textId="77777777" w:rsidR="00C27552" w:rsidRDefault="00C27552" w:rsidP="00C7484E"/>
          <w:p w14:paraId="54B48A1F" w14:textId="77777777" w:rsidR="00C27552" w:rsidRDefault="00C27552" w:rsidP="00C7484E"/>
          <w:p w14:paraId="2D23B6AE" w14:textId="77777777" w:rsidR="00C27552" w:rsidRDefault="00C27552" w:rsidP="00C7484E"/>
          <w:p w14:paraId="4E240EDF" w14:textId="77777777" w:rsidR="00C27552" w:rsidRDefault="00C27552" w:rsidP="00C7484E"/>
        </w:tc>
      </w:tr>
      <w:tr w:rsidR="00C27552" w14:paraId="71ED8B8C" w14:textId="77777777" w:rsidTr="04C4022F">
        <w:tc>
          <w:tcPr>
            <w:tcW w:w="4675" w:type="dxa"/>
            <w:shd w:val="clear" w:color="auto" w:fill="D9D9D9" w:themeFill="background1" w:themeFillShade="D9"/>
          </w:tcPr>
          <w:p w14:paraId="4403EB81" w14:textId="6B929DF2" w:rsidR="00C27552" w:rsidRDefault="00DD552E" w:rsidP="00C7484E">
            <w:r>
              <w:t>4</w:t>
            </w:r>
            <w:r w:rsidR="00C27552">
              <w:t>.4.6</w:t>
            </w:r>
            <w:r w:rsidR="00C27552">
              <w:tab/>
              <w:t xml:space="preserve">Based on the findings, qualify data in either the acid or base/neutral fractions with the criteria in </w:t>
            </w:r>
            <w:r w:rsidR="6A16EA05">
              <w:t>Table 4-3</w:t>
            </w:r>
            <w:r w:rsidR="00C27552">
              <w:t xml:space="preserve"> below</w:t>
            </w:r>
            <w:r w:rsidR="68689176">
              <w:t>.</w:t>
            </w:r>
          </w:p>
          <w:p w14:paraId="656E9531" w14:textId="77777777" w:rsidR="00C27552" w:rsidRDefault="00C27552" w:rsidP="00C7484E"/>
          <w:p w14:paraId="5E5E7721" w14:textId="77777777" w:rsidR="00C27552" w:rsidRPr="00701900" w:rsidRDefault="00C27552" w:rsidP="00C7484E">
            <w:pPr>
              <w:rPr>
                <w:i/>
                <w:iCs/>
              </w:rPr>
            </w:pPr>
          </w:p>
          <w:p w14:paraId="690D1044" w14:textId="77777777" w:rsidR="00C27552" w:rsidRDefault="00C27552" w:rsidP="00C7484E"/>
        </w:tc>
        <w:tc>
          <w:tcPr>
            <w:tcW w:w="4675" w:type="dxa"/>
          </w:tcPr>
          <w:p w14:paraId="3535F465" w14:textId="77777777" w:rsidR="00C27552" w:rsidRPr="000F6720" w:rsidRDefault="00C27552" w:rsidP="00C7484E">
            <w:pPr>
              <w:rPr>
                <w:b/>
              </w:rPr>
            </w:pPr>
            <w:r w:rsidRPr="000F6720">
              <w:rPr>
                <w:b/>
              </w:rPr>
              <w:t>List the ID(s) of the affected sample(s):</w:t>
            </w:r>
          </w:p>
        </w:tc>
      </w:tr>
    </w:tbl>
    <w:p w14:paraId="410F774A" w14:textId="77777777" w:rsidR="00C27552" w:rsidRPr="00C229A8" w:rsidRDefault="00C27552" w:rsidP="00C27552"/>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2"/>
        <w:gridCol w:w="2205"/>
        <w:gridCol w:w="2052"/>
      </w:tblGrid>
      <w:tr w:rsidR="00C27552" w:rsidRPr="00E72B97" w14:paraId="49E1A539" w14:textId="77777777" w:rsidTr="00C7484E">
        <w:trPr>
          <w:trHeight w:val="300"/>
        </w:trPr>
        <w:tc>
          <w:tcPr>
            <w:tcW w:w="92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602E6C" w14:textId="6DC9F03D" w:rsidR="00C27552" w:rsidRPr="00225B30" w:rsidRDefault="0BF9C993" w:rsidP="00C7484E">
            <w:pPr>
              <w:spacing w:after="0"/>
              <w:jc w:val="center"/>
              <w:rPr>
                <w:b/>
                <w:bCs/>
              </w:rPr>
            </w:pPr>
            <w:r w:rsidRPr="790C6BFE">
              <w:rPr>
                <w:b/>
                <w:bCs/>
              </w:rPr>
              <w:t xml:space="preserve">Table 4-3: </w:t>
            </w:r>
            <w:r w:rsidR="00C27552" w:rsidRPr="00225B30">
              <w:rPr>
                <w:b/>
                <w:bCs/>
              </w:rPr>
              <w:t>Surrogate Actions for SVOC Analyses</w:t>
            </w:r>
          </w:p>
        </w:tc>
      </w:tr>
      <w:tr w:rsidR="00C27552" w:rsidRPr="00E72B97" w14:paraId="13ADB905" w14:textId="77777777" w:rsidTr="00C7484E">
        <w:trPr>
          <w:trHeight w:val="300"/>
        </w:trPr>
        <w:tc>
          <w:tcPr>
            <w:tcW w:w="4982"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8C5A30" w14:textId="77777777" w:rsidR="00C27552" w:rsidRPr="008E0CAC" w:rsidRDefault="00C27552" w:rsidP="00C7484E">
            <w:pPr>
              <w:spacing w:after="0" w:line="240" w:lineRule="auto"/>
              <w:textAlignment w:val="baseline"/>
              <w:rPr>
                <w:rFonts w:eastAsia="Times New Roman" w:cstheme="minorHAnsi"/>
              </w:rPr>
            </w:pPr>
            <w:r w:rsidRPr="008E0CAC">
              <w:rPr>
                <w:rFonts w:eastAsia="Times New Roman" w:cstheme="minorHAnsi"/>
              </w:rPr>
              <w:t> </w:t>
            </w:r>
          </w:p>
        </w:tc>
        <w:tc>
          <w:tcPr>
            <w:tcW w:w="425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36CE583" w14:textId="77777777" w:rsidR="00C27552" w:rsidRPr="00E72B97" w:rsidRDefault="00C27552" w:rsidP="00C7484E">
            <w:pPr>
              <w:spacing w:after="0" w:line="240" w:lineRule="auto"/>
              <w:ind w:left="1740" w:right="1635"/>
              <w:jc w:val="center"/>
              <w:textAlignment w:val="baseline"/>
              <w:rPr>
                <w:rFonts w:eastAsia="Times New Roman" w:cstheme="minorHAnsi"/>
              </w:rPr>
            </w:pPr>
            <w:r w:rsidRPr="00E72B97">
              <w:rPr>
                <w:rFonts w:eastAsia="Times New Roman" w:cstheme="minorHAnsi"/>
                <w:b/>
              </w:rPr>
              <w:t>Action</w:t>
            </w:r>
            <w:r w:rsidRPr="00E72B97">
              <w:rPr>
                <w:rFonts w:eastAsia="Times New Roman" w:cstheme="minorHAnsi"/>
              </w:rPr>
              <w:t> </w:t>
            </w:r>
          </w:p>
        </w:tc>
      </w:tr>
      <w:tr w:rsidR="00C27552" w:rsidRPr="00E72B97" w14:paraId="7FCBAC7D" w14:textId="77777777" w:rsidTr="790C6BFE">
        <w:trPr>
          <w:trHeight w:val="300"/>
        </w:trPr>
        <w:tc>
          <w:tcPr>
            <w:tcW w:w="0" w:type="auto"/>
            <w:vMerge/>
            <w:vAlign w:val="center"/>
            <w:hideMark/>
          </w:tcPr>
          <w:p w14:paraId="0A9FB3E9" w14:textId="77777777" w:rsidR="00C27552" w:rsidRPr="00E72B97" w:rsidRDefault="00C27552" w:rsidP="00C7484E">
            <w:pPr>
              <w:spacing w:after="0" w:line="240" w:lineRule="auto"/>
              <w:rPr>
                <w:rFonts w:eastAsia="Times New Roman" w:cstheme="minorHAnsi"/>
              </w:rPr>
            </w:pPr>
          </w:p>
        </w:tc>
        <w:tc>
          <w:tcPr>
            <w:tcW w:w="22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C5A2E0" w14:textId="77777777" w:rsidR="00C27552" w:rsidRPr="00E72B97" w:rsidRDefault="00C27552" w:rsidP="00C7484E">
            <w:pPr>
              <w:spacing w:after="0" w:line="240" w:lineRule="auto"/>
              <w:ind w:left="315" w:right="300"/>
              <w:jc w:val="center"/>
              <w:textAlignment w:val="baseline"/>
              <w:rPr>
                <w:rFonts w:eastAsia="Times New Roman" w:cstheme="minorHAnsi"/>
              </w:rPr>
            </w:pPr>
            <w:r w:rsidRPr="00E72B97">
              <w:rPr>
                <w:rFonts w:eastAsia="Times New Roman" w:cstheme="minorHAnsi"/>
                <w:b/>
              </w:rPr>
              <w:t>Detect</w:t>
            </w:r>
            <w:r w:rsidRPr="00E72B97">
              <w:rPr>
                <w:rFonts w:eastAsia="Times New Roman" w:cstheme="minorHAnsi"/>
              </w:rPr>
              <w:t> </w:t>
            </w:r>
          </w:p>
        </w:tc>
        <w:tc>
          <w:tcPr>
            <w:tcW w:w="20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062BD0" w14:textId="77777777" w:rsidR="00C27552" w:rsidRPr="00E72B97" w:rsidRDefault="00C27552" w:rsidP="00C7484E">
            <w:pPr>
              <w:spacing w:after="0" w:line="240" w:lineRule="auto"/>
              <w:ind w:left="315" w:right="195"/>
              <w:jc w:val="center"/>
              <w:textAlignment w:val="baseline"/>
              <w:rPr>
                <w:rFonts w:eastAsia="Times New Roman" w:cstheme="minorHAnsi"/>
              </w:rPr>
            </w:pPr>
            <w:r w:rsidRPr="00E72B97">
              <w:rPr>
                <w:rFonts w:eastAsia="Times New Roman" w:cstheme="minorHAnsi"/>
                <w:b/>
              </w:rPr>
              <w:t>Non-detect</w:t>
            </w:r>
            <w:r w:rsidRPr="00E72B97">
              <w:rPr>
                <w:rFonts w:eastAsia="Times New Roman" w:cstheme="minorHAnsi"/>
              </w:rPr>
              <w:t> </w:t>
            </w:r>
          </w:p>
        </w:tc>
      </w:tr>
      <w:tr w:rsidR="00C27552" w:rsidRPr="00E72B97" w14:paraId="7582A76B" w14:textId="77777777" w:rsidTr="00C7484E">
        <w:trPr>
          <w:trHeight w:val="30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43A5471F" w14:textId="77777777" w:rsidR="00C27552" w:rsidRPr="00E72B97" w:rsidRDefault="00C27552" w:rsidP="00C7484E">
            <w:pPr>
              <w:spacing w:after="0" w:line="240" w:lineRule="auto"/>
              <w:ind w:left="90"/>
              <w:textAlignment w:val="baseline"/>
              <w:rPr>
                <w:rFonts w:eastAsia="Times New Roman" w:cstheme="minorHAnsi"/>
              </w:rPr>
            </w:pPr>
            <w:r w:rsidRPr="00E72B97">
              <w:rPr>
                <w:rFonts w:eastAsia="Times New Roman" w:cstheme="minorHAnsi"/>
              </w:rPr>
              <w:t>Surrogate not present or not at specified concentration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6A65916" w14:textId="77777777" w:rsidR="00C27552" w:rsidRPr="00E72B97" w:rsidRDefault="00C27552" w:rsidP="00C7484E">
            <w:pPr>
              <w:spacing w:after="0" w:line="240" w:lineRule="auto"/>
              <w:ind w:left="315" w:right="300"/>
              <w:jc w:val="center"/>
              <w:textAlignment w:val="baseline"/>
              <w:rPr>
                <w:rFonts w:eastAsia="Times New Roman" w:cstheme="minorHAnsi"/>
              </w:rPr>
            </w:pPr>
            <w:r w:rsidRPr="00E72B97">
              <w:rPr>
                <w:rFonts w:eastAsia="Times New Roman" w:cstheme="minorHAnsi"/>
              </w:rPr>
              <w:t>J or R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26B47F41" w14:textId="77777777" w:rsidR="00C27552" w:rsidRPr="00E72B97" w:rsidRDefault="00C27552" w:rsidP="00C7484E">
            <w:pPr>
              <w:spacing w:after="0" w:line="240" w:lineRule="auto"/>
              <w:ind w:left="315" w:right="195"/>
              <w:jc w:val="center"/>
              <w:textAlignment w:val="baseline"/>
              <w:rPr>
                <w:rFonts w:eastAsia="Times New Roman" w:cstheme="minorHAnsi"/>
              </w:rPr>
            </w:pPr>
            <w:r w:rsidRPr="00E72B97">
              <w:rPr>
                <w:rFonts w:eastAsia="Times New Roman" w:cstheme="minorHAnsi"/>
              </w:rPr>
              <w:t>UJ or R </w:t>
            </w:r>
          </w:p>
        </w:tc>
      </w:tr>
      <w:tr w:rsidR="00C27552" w:rsidRPr="00E72B97" w14:paraId="0CC2D658" w14:textId="77777777" w:rsidTr="00C7484E">
        <w:trPr>
          <w:trHeight w:val="72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305DA6AA" w14:textId="77777777" w:rsidR="00C27552" w:rsidRPr="00E72B97" w:rsidRDefault="00C27552" w:rsidP="00C7484E">
            <w:pPr>
              <w:spacing w:after="0" w:line="240" w:lineRule="auto"/>
              <w:ind w:left="90"/>
              <w:textAlignment w:val="baseline"/>
              <w:rPr>
                <w:rFonts w:eastAsia="Times New Roman" w:cstheme="minorHAnsi"/>
              </w:rPr>
            </w:pPr>
            <w:r w:rsidRPr="00E72B97">
              <w:rPr>
                <w:rFonts w:eastAsia="Times New Roman" w:cstheme="minorHAnsi"/>
              </w:rPr>
              <w:lastRenderedPageBreak/>
              <w:t>%R &lt; Expanded Lower Acceptance Limit (10%, excluding surrogates with 10% as a lower acceptance limit, undiluted sample analysis)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3CF85BA" w14:textId="77777777" w:rsidR="00C27552" w:rsidRPr="00E72B97" w:rsidRDefault="00C27552" w:rsidP="00C7484E">
            <w:pPr>
              <w:spacing w:after="0" w:line="240" w:lineRule="auto"/>
              <w:textAlignment w:val="baseline"/>
              <w:rPr>
                <w:rFonts w:eastAsia="Times New Roman" w:cstheme="minorHAnsi"/>
              </w:rPr>
            </w:pPr>
            <w:r w:rsidRPr="00E72B97">
              <w:rPr>
                <w:rFonts w:eastAsia="Times New Roman" w:cstheme="minorHAnsi"/>
              </w:rPr>
              <w:t> </w:t>
            </w:r>
          </w:p>
          <w:p w14:paraId="1B49EC5E" w14:textId="77777777" w:rsidR="00C27552" w:rsidRPr="00E72B97" w:rsidRDefault="00C27552" w:rsidP="00C7484E">
            <w:pPr>
              <w:spacing w:after="0" w:line="240" w:lineRule="auto"/>
              <w:ind w:left="315" w:right="300"/>
              <w:jc w:val="center"/>
              <w:textAlignment w:val="baseline"/>
              <w:rPr>
                <w:rFonts w:eastAsia="Times New Roman" w:cstheme="minorHAnsi"/>
              </w:rPr>
            </w:pPr>
            <w:r w:rsidRPr="008E0CAC">
              <w:rPr>
                <w:rFonts w:eastAsia="Times New Roman" w:cstheme="minorHAnsi"/>
              </w:rPr>
              <w:t>J-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7DFD83AC" w14:textId="77777777" w:rsidR="00C27552" w:rsidRPr="00E72B97" w:rsidRDefault="00C27552" w:rsidP="00C7484E">
            <w:pPr>
              <w:spacing w:after="0" w:line="240" w:lineRule="auto"/>
              <w:textAlignment w:val="baseline"/>
              <w:rPr>
                <w:rFonts w:eastAsia="Times New Roman" w:cstheme="minorHAnsi"/>
              </w:rPr>
            </w:pPr>
            <w:r w:rsidRPr="00E72B97">
              <w:rPr>
                <w:rFonts w:eastAsia="Times New Roman" w:cstheme="minorHAnsi"/>
              </w:rPr>
              <w:t> </w:t>
            </w:r>
          </w:p>
          <w:p w14:paraId="01B1602A" w14:textId="77777777" w:rsidR="00C27552" w:rsidRPr="00E72B97" w:rsidRDefault="00C27552" w:rsidP="00C7484E">
            <w:pPr>
              <w:spacing w:after="0" w:line="240" w:lineRule="auto"/>
              <w:ind w:left="105"/>
              <w:jc w:val="center"/>
              <w:textAlignment w:val="baseline"/>
              <w:rPr>
                <w:rFonts w:eastAsia="Times New Roman" w:cstheme="minorHAnsi"/>
              </w:rPr>
            </w:pPr>
            <w:r w:rsidRPr="00E72B97">
              <w:rPr>
                <w:rFonts w:eastAsia="Times New Roman" w:cstheme="minorHAnsi"/>
              </w:rPr>
              <w:t>R </w:t>
            </w:r>
          </w:p>
        </w:tc>
      </w:tr>
      <w:tr w:rsidR="00C27552" w:rsidRPr="00E72B97" w14:paraId="19BFF7C0" w14:textId="77777777" w:rsidTr="00C7484E">
        <w:trPr>
          <w:trHeight w:val="945"/>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29A5B275" w14:textId="77777777" w:rsidR="00C27552" w:rsidRPr="00E72B97" w:rsidRDefault="00C27552" w:rsidP="00C7484E">
            <w:pPr>
              <w:spacing w:after="0" w:line="240" w:lineRule="auto"/>
              <w:ind w:left="90"/>
              <w:textAlignment w:val="baseline"/>
              <w:rPr>
                <w:rFonts w:eastAsia="Times New Roman" w:cstheme="minorHAnsi"/>
              </w:rPr>
            </w:pPr>
            <w:r w:rsidRPr="00E72B97">
              <w:rPr>
                <w:rFonts w:eastAsia="Times New Roman" w:cstheme="minorHAnsi"/>
              </w:rPr>
              <w:t>Expanded Lower Acceptance Limit (10%) ≤ %R (excluding surrogates with 10% as a lower acceptance limit, undiluted sample analysis) &lt; specified Lower Acceptance Limit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4BBFDB9" w14:textId="77777777" w:rsidR="00C27552" w:rsidRPr="00E72B97" w:rsidRDefault="00C27552" w:rsidP="00C7484E">
            <w:pPr>
              <w:spacing w:after="0" w:line="240" w:lineRule="auto"/>
              <w:textAlignment w:val="baseline"/>
              <w:rPr>
                <w:rFonts w:eastAsia="Times New Roman" w:cstheme="minorHAnsi"/>
              </w:rPr>
            </w:pPr>
            <w:r w:rsidRPr="00E72B97">
              <w:rPr>
                <w:rFonts w:eastAsia="Times New Roman" w:cstheme="minorHAnsi"/>
              </w:rPr>
              <w:t> </w:t>
            </w:r>
          </w:p>
          <w:p w14:paraId="4B017AE2" w14:textId="77777777" w:rsidR="00C27552" w:rsidRPr="00E72B97" w:rsidRDefault="00C27552" w:rsidP="00C7484E">
            <w:pPr>
              <w:spacing w:after="0" w:line="240" w:lineRule="auto"/>
              <w:ind w:left="315" w:right="300"/>
              <w:jc w:val="center"/>
              <w:textAlignment w:val="baseline"/>
              <w:rPr>
                <w:rFonts w:eastAsia="Times New Roman" w:cstheme="minorHAnsi"/>
              </w:rPr>
            </w:pPr>
            <w:r w:rsidRPr="00E72B97">
              <w:rPr>
                <w:rFonts w:eastAsia="Times New Roman" w:cstheme="minorHAnsi"/>
              </w:rPr>
              <w:t>J-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12D41C00" w14:textId="77777777" w:rsidR="00C27552" w:rsidRPr="00E72B97" w:rsidRDefault="00C27552" w:rsidP="00C7484E">
            <w:pPr>
              <w:spacing w:after="0" w:line="240" w:lineRule="auto"/>
              <w:textAlignment w:val="baseline"/>
              <w:rPr>
                <w:rFonts w:eastAsia="Times New Roman" w:cstheme="minorHAnsi"/>
              </w:rPr>
            </w:pPr>
            <w:r w:rsidRPr="00E72B97">
              <w:rPr>
                <w:rFonts w:eastAsia="Times New Roman" w:cstheme="minorHAnsi"/>
              </w:rPr>
              <w:t> </w:t>
            </w:r>
          </w:p>
          <w:p w14:paraId="6E42F50D" w14:textId="77777777" w:rsidR="00C27552" w:rsidRPr="00E72B97" w:rsidRDefault="00C27552" w:rsidP="00C7484E">
            <w:pPr>
              <w:spacing w:after="0" w:line="240" w:lineRule="auto"/>
              <w:ind w:left="315" w:right="195"/>
              <w:jc w:val="center"/>
              <w:textAlignment w:val="baseline"/>
              <w:rPr>
                <w:rFonts w:eastAsia="Times New Roman" w:cstheme="minorHAnsi"/>
              </w:rPr>
            </w:pPr>
            <w:r w:rsidRPr="00E72B97">
              <w:rPr>
                <w:rFonts w:eastAsia="Times New Roman" w:cstheme="minorHAnsi"/>
              </w:rPr>
              <w:t>UJ </w:t>
            </w:r>
          </w:p>
        </w:tc>
      </w:tr>
      <w:tr w:rsidR="00C27552" w:rsidRPr="00E72B97" w14:paraId="65F81626" w14:textId="77777777" w:rsidTr="00C7484E">
        <w:trPr>
          <w:trHeight w:val="51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74903652" w14:textId="77777777" w:rsidR="00C27552" w:rsidRPr="00E72B97" w:rsidRDefault="00C27552" w:rsidP="00C7484E">
            <w:pPr>
              <w:spacing w:after="0" w:line="240" w:lineRule="auto"/>
              <w:ind w:left="90" w:right="180"/>
              <w:textAlignment w:val="baseline"/>
              <w:rPr>
                <w:rFonts w:eastAsia="Times New Roman" w:cstheme="minorHAnsi"/>
              </w:rPr>
            </w:pPr>
            <w:r w:rsidRPr="00E72B97">
              <w:rPr>
                <w:rFonts w:eastAsia="Times New Roman" w:cstheme="minorHAnsi"/>
              </w:rPr>
              <w:t>%R &lt; specified Lower Acceptance Limit (diluted sample analysis)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B80E31F" w14:textId="77777777" w:rsidR="00C27552" w:rsidRPr="00E72B97" w:rsidRDefault="00C27552" w:rsidP="00C7484E">
            <w:pPr>
              <w:spacing w:after="0" w:line="240" w:lineRule="auto"/>
              <w:ind w:left="615" w:right="285" w:hanging="315"/>
              <w:textAlignment w:val="baseline"/>
              <w:rPr>
                <w:rFonts w:eastAsia="Times New Roman" w:cstheme="minorHAnsi"/>
              </w:rPr>
            </w:pPr>
            <w:r w:rsidRPr="00E72B97">
              <w:rPr>
                <w:rFonts w:eastAsia="Times New Roman" w:cstheme="minorHAnsi"/>
              </w:rPr>
              <w:t>Use professional judgment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7A95F580" w14:textId="77777777" w:rsidR="00C27552" w:rsidRPr="00E72B97" w:rsidRDefault="00C27552" w:rsidP="00C7484E">
            <w:pPr>
              <w:spacing w:after="0" w:line="240" w:lineRule="auto"/>
              <w:ind w:left="615" w:hanging="315"/>
              <w:textAlignment w:val="baseline"/>
              <w:rPr>
                <w:rFonts w:eastAsia="Times New Roman" w:cstheme="minorHAnsi"/>
              </w:rPr>
            </w:pPr>
            <w:r w:rsidRPr="00E72B97">
              <w:rPr>
                <w:rFonts w:eastAsia="Times New Roman" w:cstheme="minorHAnsi"/>
              </w:rPr>
              <w:t>Use professional judgment </w:t>
            </w:r>
          </w:p>
        </w:tc>
      </w:tr>
      <w:tr w:rsidR="00C27552" w:rsidRPr="00E72B97" w14:paraId="1E042BF9" w14:textId="77777777" w:rsidTr="00C7484E">
        <w:trPr>
          <w:trHeight w:val="30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7976AA4F" w14:textId="77777777" w:rsidR="00C27552" w:rsidRPr="00E72B97" w:rsidRDefault="00C27552" w:rsidP="00C7484E">
            <w:pPr>
              <w:spacing w:after="0" w:line="240" w:lineRule="auto"/>
              <w:ind w:left="90"/>
              <w:textAlignment w:val="baseline"/>
              <w:rPr>
                <w:rFonts w:eastAsia="Times New Roman" w:cstheme="minorHAnsi"/>
              </w:rPr>
            </w:pPr>
            <w:r w:rsidRPr="00E72B97">
              <w:rPr>
                <w:rFonts w:eastAsia="Times New Roman" w:cstheme="minorHAnsi"/>
              </w:rPr>
              <w:t>%R within specified Acceptance Limits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870983A" w14:textId="77777777" w:rsidR="00C27552" w:rsidRPr="00E72B97" w:rsidRDefault="00C27552" w:rsidP="00C7484E">
            <w:pPr>
              <w:spacing w:after="0" w:line="240" w:lineRule="auto"/>
              <w:ind w:left="315" w:right="300"/>
              <w:jc w:val="center"/>
              <w:textAlignment w:val="baseline"/>
              <w:rPr>
                <w:rFonts w:eastAsia="Times New Roman" w:cstheme="minorHAnsi"/>
              </w:rPr>
            </w:pPr>
            <w:r w:rsidRPr="00E72B97">
              <w:rPr>
                <w:rFonts w:eastAsia="Times New Roman" w:cstheme="minorHAnsi"/>
              </w:rPr>
              <w:t>No qualification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728CC8E7" w14:textId="77777777" w:rsidR="00C27552" w:rsidRPr="00E72B97" w:rsidRDefault="00C27552" w:rsidP="00C7484E">
            <w:pPr>
              <w:spacing w:after="0" w:line="240" w:lineRule="auto"/>
              <w:ind w:left="315" w:right="195"/>
              <w:jc w:val="center"/>
              <w:textAlignment w:val="baseline"/>
              <w:rPr>
                <w:rFonts w:eastAsia="Times New Roman" w:cstheme="minorHAnsi"/>
              </w:rPr>
            </w:pPr>
            <w:r w:rsidRPr="00E72B97">
              <w:rPr>
                <w:rFonts w:eastAsia="Times New Roman" w:cstheme="minorHAnsi"/>
              </w:rPr>
              <w:t>No qualification </w:t>
            </w:r>
          </w:p>
        </w:tc>
      </w:tr>
      <w:tr w:rsidR="00C27552" w:rsidRPr="00E72B97" w14:paraId="12BB0BA3" w14:textId="77777777" w:rsidTr="00C7484E">
        <w:trPr>
          <w:trHeight w:val="30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2117B238" w14:textId="77777777" w:rsidR="00C27552" w:rsidRPr="00E72B97" w:rsidRDefault="00C27552" w:rsidP="00C7484E">
            <w:pPr>
              <w:spacing w:after="0" w:line="240" w:lineRule="auto"/>
              <w:ind w:left="90"/>
              <w:textAlignment w:val="baseline"/>
              <w:rPr>
                <w:rFonts w:eastAsia="Times New Roman" w:cstheme="minorHAnsi"/>
              </w:rPr>
            </w:pPr>
            <w:r w:rsidRPr="00E72B97">
              <w:rPr>
                <w:rFonts w:eastAsia="Times New Roman" w:cstheme="minorHAnsi"/>
              </w:rPr>
              <w:t>%R &gt; specified Upper Acceptance Limit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51CE21E" w14:textId="77777777" w:rsidR="00C27552" w:rsidRPr="00E72B97" w:rsidRDefault="00C27552" w:rsidP="00C7484E">
            <w:pPr>
              <w:spacing w:after="0" w:line="240" w:lineRule="auto"/>
              <w:ind w:left="315" w:right="300"/>
              <w:jc w:val="center"/>
              <w:textAlignment w:val="baseline"/>
              <w:rPr>
                <w:rFonts w:eastAsia="Times New Roman" w:cstheme="minorHAnsi"/>
              </w:rPr>
            </w:pPr>
            <w:r w:rsidRPr="00E72B97">
              <w:rPr>
                <w:rFonts w:eastAsia="Times New Roman" w:cstheme="minorHAnsi"/>
              </w:rPr>
              <w:t>J+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601B4F38" w14:textId="77777777" w:rsidR="00C27552" w:rsidRPr="00E72B97" w:rsidRDefault="00C27552" w:rsidP="00C7484E">
            <w:pPr>
              <w:spacing w:after="0" w:line="240" w:lineRule="auto"/>
              <w:ind w:left="315" w:right="195"/>
              <w:jc w:val="center"/>
              <w:textAlignment w:val="baseline"/>
              <w:rPr>
                <w:rFonts w:eastAsia="Times New Roman" w:cstheme="minorHAnsi"/>
              </w:rPr>
            </w:pPr>
            <w:r w:rsidRPr="00E72B97">
              <w:rPr>
                <w:rFonts w:eastAsia="Times New Roman" w:cstheme="minorHAnsi"/>
              </w:rPr>
              <w:t>No qualification </w:t>
            </w:r>
          </w:p>
        </w:tc>
      </w:tr>
    </w:tbl>
    <w:p w14:paraId="289A06DA" w14:textId="77777777" w:rsidR="00C7484E" w:rsidRDefault="00C7484E"/>
    <w:sectPr w:rsidR="00C7484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4A4B" w14:textId="77777777" w:rsidR="003540A7" w:rsidRDefault="003540A7" w:rsidP="00C27552">
      <w:pPr>
        <w:spacing w:after="0" w:line="240" w:lineRule="auto"/>
      </w:pPr>
      <w:r>
        <w:separator/>
      </w:r>
    </w:p>
  </w:endnote>
  <w:endnote w:type="continuationSeparator" w:id="0">
    <w:p w14:paraId="1DB4E494" w14:textId="77777777" w:rsidR="003540A7" w:rsidRDefault="003540A7" w:rsidP="00C27552">
      <w:pPr>
        <w:spacing w:after="0" w:line="240" w:lineRule="auto"/>
      </w:pPr>
      <w:r>
        <w:continuationSeparator/>
      </w:r>
    </w:p>
  </w:endnote>
  <w:endnote w:type="continuationNotice" w:id="1">
    <w:p w14:paraId="21182AF6" w14:textId="77777777" w:rsidR="003540A7" w:rsidRDefault="00354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A12C" w14:textId="77777777" w:rsidR="003540A7" w:rsidRDefault="003540A7" w:rsidP="00C27552">
      <w:pPr>
        <w:spacing w:after="0" w:line="240" w:lineRule="auto"/>
      </w:pPr>
      <w:r>
        <w:separator/>
      </w:r>
    </w:p>
  </w:footnote>
  <w:footnote w:type="continuationSeparator" w:id="0">
    <w:p w14:paraId="75FF9565" w14:textId="77777777" w:rsidR="003540A7" w:rsidRDefault="003540A7" w:rsidP="00C27552">
      <w:pPr>
        <w:spacing w:after="0" w:line="240" w:lineRule="auto"/>
      </w:pPr>
      <w:r>
        <w:continuationSeparator/>
      </w:r>
    </w:p>
  </w:footnote>
  <w:footnote w:type="continuationNotice" w:id="1">
    <w:p w14:paraId="23A4B3FE" w14:textId="77777777" w:rsidR="003540A7" w:rsidRDefault="003540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rPr>
      <w:id w:val="-1958009387"/>
      <w:docPartObj>
        <w:docPartGallery w:val="Page Numbers (Top of Page)"/>
        <w:docPartUnique/>
      </w:docPartObj>
    </w:sdtPr>
    <w:sdtEndPr>
      <w:rPr>
        <w:b/>
        <w:bCs/>
        <w:noProof/>
        <w:color w:val="auto"/>
      </w:rPr>
    </w:sdtEndPr>
    <w:sdtContent>
      <w:p w14:paraId="224DE043" w14:textId="1680CC8B" w:rsidR="00C27552" w:rsidRPr="0094646A" w:rsidRDefault="00C27552" w:rsidP="00C27552">
        <w:pPr>
          <w:pStyle w:val="Header"/>
          <w:pBdr>
            <w:bottom w:val="single" w:sz="4" w:space="1" w:color="D9D9D9" w:themeColor="background1" w:themeShade="D9"/>
          </w:pBdr>
          <w:rPr>
            <w:color w:val="7F7F7F" w:themeColor="background1" w:themeShade="7F"/>
          </w:rPr>
        </w:pPr>
        <w:r w:rsidRPr="0094646A">
          <w:rPr>
            <w:color w:val="7F7F7F" w:themeColor="background1" w:themeShade="7F"/>
          </w:rPr>
          <w:t>Tier I Checklist #</w:t>
        </w:r>
        <w:r w:rsidR="001352D5" w:rsidRPr="0094646A">
          <w:rPr>
            <w:color w:val="7F7F7F" w:themeColor="background1" w:themeShade="7F"/>
          </w:rPr>
          <w:t>4</w:t>
        </w:r>
      </w:p>
      <w:p w14:paraId="20A12250" w14:textId="59263318" w:rsidR="00C27552" w:rsidRPr="0094646A" w:rsidRDefault="0094646A" w:rsidP="00C27552">
        <w:pPr>
          <w:pStyle w:val="Header"/>
          <w:pBdr>
            <w:bottom w:val="single" w:sz="4" w:space="1" w:color="D9D9D9" w:themeColor="background1" w:themeShade="D9"/>
          </w:pBdr>
          <w:rPr>
            <w:b/>
            <w:bCs/>
          </w:rPr>
        </w:pPr>
        <w:r>
          <w:rPr>
            <w:color w:val="7F7F7F" w:themeColor="background1" w:themeShade="7F"/>
          </w:rPr>
          <w:t>May 2023</w:t>
        </w:r>
        <w:r w:rsidR="00C27552" w:rsidRPr="0094646A">
          <w:rPr>
            <w:color w:val="7F7F7F" w:themeColor="background1" w:themeShade="7F"/>
          </w:rPr>
          <w:tab/>
        </w:r>
        <w:r w:rsidR="00C27552" w:rsidRPr="0094646A">
          <w:rPr>
            <w:color w:val="7F7F7F" w:themeColor="background1" w:themeShade="7F"/>
          </w:rPr>
          <w:tab/>
          <w:t>Page</w:t>
        </w:r>
        <w:r w:rsidR="00C27552" w:rsidRPr="0094646A">
          <w:t xml:space="preserve"> | </w:t>
        </w:r>
        <w:r w:rsidR="00C27552" w:rsidRPr="0094646A">
          <w:fldChar w:fldCharType="begin"/>
        </w:r>
        <w:r w:rsidR="00C27552" w:rsidRPr="0094646A">
          <w:instrText xml:space="preserve"> PAGE   \* MERGEFORMAT </w:instrText>
        </w:r>
        <w:r w:rsidR="00C27552" w:rsidRPr="0094646A">
          <w:fldChar w:fldCharType="separate"/>
        </w:r>
        <w:r w:rsidR="00C27552" w:rsidRPr="0094646A">
          <w:t>1</w:t>
        </w:r>
        <w:r w:rsidR="00C27552" w:rsidRPr="0094646A">
          <w:rPr>
            <w:b/>
            <w:bCs/>
            <w:noProof/>
          </w:rPr>
          <w:fldChar w:fldCharType="end"/>
        </w:r>
      </w:p>
    </w:sdtContent>
  </w:sdt>
  <w:p w14:paraId="48427FED" w14:textId="77777777" w:rsidR="00C27552" w:rsidRPr="0094646A" w:rsidRDefault="00C275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52"/>
    <w:rsid w:val="000C2718"/>
    <w:rsid w:val="000D4968"/>
    <w:rsid w:val="000F0A2C"/>
    <w:rsid w:val="001352D5"/>
    <w:rsid w:val="001C12CD"/>
    <w:rsid w:val="001E1DF5"/>
    <w:rsid w:val="00206819"/>
    <w:rsid w:val="00214B52"/>
    <w:rsid w:val="00241458"/>
    <w:rsid w:val="002A0215"/>
    <w:rsid w:val="002C46F7"/>
    <w:rsid w:val="00313687"/>
    <w:rsid w:val="003540A7"/>
    <w:rsid w:val="0037412B"/>
    <w:rsid w:val="003778A1"/>
    <w:rsid w:val="003B1B96"/>
    <w:rsid w:val="003B2E7B"/>
    <w:rsid w:val="003C360E"/>
    <w:rsid w:val="003F6DC2"/>
    <w:rsid w:val="0055544F"/>
    <w:rsid w:val="005C135B"/>
    <w:rsid w:val="005C28EF"/>
    <w:rsid w:val="005C584E"/>
    <w:rsid w:val="00706532"/>
    <w:rsid w:val="007F3BAC"/>
    <w:rsid w:val="0084623F"/>
    <w:rsid w:val="008A40E1"/>
    <w:rsid w:val="008C42EA"/>
    <w:rsid w:val="0094646A"/>
    <w:rsid w:val="00A76883"/>
    <w:rsid w:val="00AD6DCE"/>
    <w:rsid w:val="00B316CA"/>
    <w:rsid w:val="00B80FB3"/>
    <w:rsid w:val="00C27552"/>
    <w:rsid w:val="00C7484E"/>
    <w:rsid w:val="00C93DF7"/>
    <w:rsid w:val="00CB2FEA"/>
    <w:rsid w:val="00CE12A4"/>
    <w:rsid w:val="00D54026"/>
    <w:rsid w:val="00DB7684"/>
    <w:rsid w:val="00DD552E"/>
    <w:rsid w:val="00E27294"/>
    <w:rsid w:val="00EB5C33"/>
    <w:rsid w:val="00EE2BCC"/>
    <w:rsid w:val="00F12E1F"/>
    <w:rsid w:val="00F37EB2"/>
    <w:rsid w:val="00F52B1C"/>
    <w:rsid w:val="00FA787B"/>
    <w:rsid w:val="014F67E1"/>
    <w:rsid w:val="01FB067C"/>
    <w:rsid w:val="03A8683D"/>
    <w:rsid w:val="04C4022F"/>
    <w:rsid w:val="052CA249"/>
    <w:rsid w:val="0778A307"/>
    <w:rsid w:val="087323A3"/>
    <w:rsid w:val="0BF9C993"/>
    <w:rsid w:val="0DA7570A"/>
    <w:rsid w:val="0DBF5F68"/>
    <w:rsid w:val="10BD7E3D"/>
    <w:rsid w:val="13A1C3AA"/>
    <w:rsid w:val="13CCADCE"/>
    <w:rsid w:val="143796B5"/>
    <w:rsid w:val="18A01EF1"/>
    <w:rsid w:val="1ADF5E9E"/>
    <w:rsid w:val="1BBD5BC5"/>
    <w:rsid w:val="2183AFC4"/>
    <w:rsid w:val="25868F7F"/>
    <w:rsid w:val="27225FE0"/>
    <w:rsid w:val="336881FA"/>
    <w:rsid w:val="35838AEC"/>
    <w:rsid w:val="3AC7885E"/>
    <w:rsid w:val="3DCED6B6"/>
    <w:rsid w:val="449B7EEC"/>
    <w:rsid w:val="45B439B4"/>
    <w:rsid w:val="47DA1950"/>
    <w:rsid w:val="4840DC10"/>
    <w:rsid w:val="4A3CB1A9"/>
    <w:rsid w:val="4EE88DC4"/>
    <w:rsid w:val="5352CC54"/>
    <w:rsid w:val="5BD2689B"/>
    <w:rsid w:val="62FADAD5"/>
    <w:rsid w:val="637F0CF7"/>
    <w:rsid w:val="650CAE05"/>
    <w:rsid w:val="68689176"/>
    <w:rsid w:val="688EC850"/>
    <w:rsid w:val="6A16EA05"/>
    <w:rsid w:val="76DCEB0D"/>
    <w:rsid w:val="771A0435"/>
    <w:rsid w:val="790C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6E01"/>
  <w15:chartTrackingRefBased/>
  <w15:docId w15:val="{80E78877-DC11-4392-A9EA-5A8444F4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7552"/>
    <w:rPr>
      <w:sz w:val="16"/>
      <w:szCs w:val="16"/>
    </w:rPr>
  </w:style>
  <w:style w:type="paragraph" w:styleId="CommentText">
    <w:name w:val="annotation text"/>
    <w:basedOn w:val="Normal"/>
    <w:link w:val="CommentTextChar"/>
    <w:uiPriority w:val="99"/>
    <w:unhideWhenUsed/>
    <w:rsid w:val="00C27552"/>
    <w:pPr>
      <w:spacing w:line="240" w:lineRule="auto"/>
    </w:pPr>
    <w:rPr>
      <w:sz w:val="20"/>
      <w:szCs w:val="20"/>
    </w:rPr>
  </w:style>
  <w:style w:type="character" w:customStyle="1" w:styleId="CommentTextChar">
    <w:name w:val="Comment Text Char"/>
    <w:basedOn w:val="DefaultParagraphFont"/>
    <w:link w:val="CommentText"/>
    <w:uiPriority w:val="99"/>
    <w:rsid w:val="00C27552"/>
    <w:rPr>
      <w:sz w:val="20"/>
      <w:szCs w:val="20"/>
    </w:rPr>
  </w:style>
  <w:style w:type="paragraph" w:customStyle="1" w:styleId="Default">
    <w:name w:val="Default"/>
    <w:rsid w:val="00C2755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7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52"/>
  </w:style>
  <w:style w:type="paragraph" w:styleId="Footer">
    <w:name w:val="footer"/>
    <w:basedOn w:val="Normal"/>
    <w:link w:val="FooterChar"/>
    <w:uiPriority w:val="99"/>
    <w:unhideWhenUsed/>
    <w:rsid w:val="00C27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52"/>
  </w:style>
  <w:style w:type="paragraph" w:styleId="Revision">
    <w:name w:val="Revision"/>
    <w:hidden/>
    <w:uiPriority w:val="99"/>
    <w:semiHidden/>
    <w:rsid w:val="00CB2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49CC91B703A408300195853313740" ma:contentTypeVersion="24" ma:contentTypeDescription="Create a new document." ma:contentTypeScope="" ma:versionID="ebc3b3dba7a8cd0a96d79cf1854f41d7">
  <xsd:schema xmlns:xsd="http://www.w3.org/2001/XMLSchema" xmlns:xs="http://www.w3.org/2001/XMLSchema" xmlns:p="http://schemas.microsoft.com/office/2006/metadata/properties" xmlns:ns2="252b6ee7-883f-47cc-9ef4-51084eb5a364" xmlns:ns3="0ac40943-4753-4f9b-a2b3-8b5d259efe3d" targetNamespace="http://schemas.microsoft.com/office/2006/metadata/properties" ma:root="true" ma:fieldsID="c1b80c48bff50f10d9a7b34ab256b019" ns2:_="" ns3:_="">
    <xsd:import namespace="252b6ee7-883f-47cc-9ef4-51084eb5a364"/>
    <xsd:import namespace="0ac40943-4753-4f9b-a2b3-8b5d259efe3d"/>
    <xsd:element name="properties">
      <xsd:complexType>
        <xsd:sequence>
          <xsd:element name="documentManagement">
            <xsd:complexType>
              <xsd:all>
                <xsd:element ref="ns2:Main_x0020_Folder" minOccurs="0"/>
                <xsd:element ref="ns2:Sub_x002d_Folder" minOccurs="0"/>
                <xsd:element ref="ns2:_x0032_nd_x0020_Level_x0020_Sub_x002d_Folder" minOccurs="0"/>
                <xsd:element ref="ns2:Category" minOccurs="0"/>
                <xsd:element ref="ns3:SharedWithUsers" minOccurs="0"/>
                <xsd:element ref="ns3:SharedWithDetails" minOccurs="0"/>
                <xsd:element ref="ns2:MediaServiceMetadata" minOccurs="0"/>
                <xsd:element ref="ns2:MediaServiceFastMetadata"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b6ee7-883f-47cc-9ef4-51084eb5a364" elementFormDefault="qualified">
    <xsd:import namespace="http://schemas.microsoft.com/office/2006/documentManagement/types"/>
    <xsd:import namespace="http://schemas.microsoft.com/office/infopath/2007/PartnerControls"/>
    <xsd:element name="Main_x0020_Folder" ma:index="8" nillable="true" ma:displayName="Main Folder" ma:format="Dropdown" ma:internalName="Main_x0020_Folder" ma:readOnly="false">
      <xsd:simpleType>
        <xsd:restriction base="dms:Choice">
          <xsd:enumeration value="Closure Boilerplate Letters"/>
          <xsd:enumeration value="Closure Plan Review Forms"/>
          <xsd:enumeration value="Compliance Monitoring Strategy for Post-Closure Facilities"/>
          <xsd:enumeration value="Corrective Action Resources"/>
          <xsd:enumeration value="Data Validation Guidance"/>
          <xsd:enumeration value="ERAS Work Request Form"/>
          <xsd:enumeration value="Vactrose Zone Model Guidance"/>
          <xsd:enumeration value="CPRG Review"/>
          <xsd:enumeration value="CASS FORM (ver.2) and Model Permit"/>
          <xsd:enumeration value="VI Resources"/>
          <xsd:enumeration value="VI Sampling"/>
        </xsd:restriction>
      </xsd:simpleType>
    </xsd:element>
    <xsd:element name="Sub_x002d_Folder" ma:index="9" nillable="true" ma:displayName="Sub-Folder" ma:format="Dropdown" ma:internalName="Sub_x002d_Folder" ma:readOnly="false">
      <xsd:simpleType>
        <xsd:restriction base="dms:Choice">
          <xsd:enumeration value="CO-Closure Plan NODs"/>
          <xsd:enumeration value="Director's Signature-CP Approvals-Amendments-Extensions-"/>
          <xsd:enumeration value="DO-NODs, Minor Mod Approvals, Certification Accptance-NOD"/>
          <xsd:enumeration value="CORRECTIVE ACTION BOILERPLATES"/>
          <xsd:enumeration value="Decision Documents"/>
          <xsd:enumeration value="EPA RFI Guidance May 1989"/>
          <xsd:enumeration value="Statement of Basis"/>
          <xsd:enumeration value="USEPA STRATEGIC PLAN DEVELOPMENT"/>
          <xsd:enumeration value="Data Validation Resources"/>
          <xsd:enumeration value="Module E Draft Permit Examples"/>
          <xsd:enumeration value="CPRG 2017"/>
        </xsd:restriction>
      </xsd:simpleType>
    </xsd:element>
    <xsd:element name="_x0032_nd_x0020_Level_x0020_Sub_x002d_Folder" ma:index="10" nillable="true" ma:displayName="2nd Level Sub-Folder" ma:format="Dropdown" ma:internalName="_x0032_nd_x0020_Level_x0020_Sub_x002d_Folder" ma:readOnly="false">
      <xsd:simpleType>
        <xsd:restriction base="dms:Choice">
          <xsd:enumeration value="REILLY Word D. Documents"/>
        </xsd:restriction>
      </xsd:simpleType>
    </xsd:element>
    <xsd:element name="Category" ma:index="11" nillable="true" ma:displayName="Category" ma:format="Dropdown" ma:internalName="Category" ma:readOnly="false">
      <xsd:simpleType>
        <xsd:restriction base="dms:Choice">
          <xsd:enumeration value="Closure Guidance"/>
          <xsd:enumeration value="CA Guidance"/>
          <xsd:enumeration value="ERAS Guidance"/>
          <xsd:enumeration value="Risk Guidance"/>
          <xsd:enumeration value="CPRG Review Guidance"/>
          <xsd:enumeration value="Vadose Zone Model Guidanc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order0" ma:index="16" nillable="true" ma:displayName="order" ma:internalName="order0">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0943-4753-4f9b-a2b3-8b5d259ef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252b6ee7-883f-47cc-9ef4-51084eb5a364" xsi:nil="true"/>
    <Category xmlns="252b6ee7-883f-47cc-9ef4-51084eb5a364" xsi:nil="true"/>
    <_x0032_nd_x0020_Level_x0020_Sub_x002d_Folder xmlns="252b6ee7-883f-47cc-9ef4-51084eb5a364" xsi:nil="true"/>
    <Main_x0020_Folder xmlns="252b6ee7-883f-47cc-9ef4-51084eb5a364" xsi:nil="true"/>
    <Sub_x002d_Folder xmlns="252b6ee7-883f-47cc-9ef4-51084eb5a364"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3D38FF4A-8B0B-4D70-A6C4-8363E6BCCA64}"/>
</file>

<file path=customXml/itemProps2.xml><?xml version="1.0" encoding="utf-8"?>
<ds:datastoreItem xmlns:ds="http://schemas.openxmlformats.org/officeDocument/2006/customXml" ds:itemID="{7DD20C69-5168-44A3-B4EB-3CD4271E58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E4523-F7D5-45D8-B2CA-4A03FDC43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Sarah</dc:creator>
  <cp:keywords/>
  <dc:description/>
  <cp:lastModifiedBy>Beal, Sarah</cp:lastModifiedBy>
  <cp:revision>24</cp:revision>
  <dcterms:created xsi:type="dcterms:W3CDTF">2022-08-02T20:27:00Z</dcterms:created>
  <dcterms:modified xsi:type="dcterms:W3CDTF">2023-05-30T15:00:00Z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0x01010093149CC91B703A408300195853313740</vt:lpwstr>
  </property>
</Properties>
</file>