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C5436E" w14:paraId="05D0342B" w14:textId="77777777" w:rsidTr="7A6E5AE8">
        <w:trPr>
          <w:tblHeader/>
        </w:trPr>
        <w:tc>
          <w:tcPr>
            <w:tcW w:w="9350" w:type="dxa"/>
            <w:gridSpan w:val="2"/>
            <w:shd w:val="clear" w:color="auto" w:fill="D9D9D9" w:themeFill="background1" w:themeFillShade="D9"/>
          </w:tcPr>
          <w:p w14:paraId="13D8F8DF" w14:textId="19B6A01E" w:rsidR="00C5436E" w:rsidRDefault="00E33025" w:rsidP="006B6A7E">
            <w:pPr>
              <w:rPr>
                <w:b/>
                <w:bCs/>
              </w:rPr>
            </w:pPr>
            <w:r>
              <w:rPr>
                <w:b/>
                <w:bCs/>
              </w:rPr>
              <w:t>7</w:t>
            </w:r>
            <w:r w:rsidR="00C5436E">
              <w:rPr>
                <w:b/>
                <w:bCs/>
              </w:rPr>
              <w:t>.0 Mercury Data Validation</w:t>
            </w:r>
          </w:p>
        </w:tc>
      </w:tr>
      <w:tr w:rsidR="00C5436E" w14:paraId="1F913AE2" w14:textId="77777777" w:rsidTr="7A6E5AE8">
        <w:trPr>
          <w:tblHeader/>
        </w:trPr>
        <w:tc>
          <w:tcPr>
            <w:tcW w:w="9350" w:type="dxa"/>
            <w:gridSpan w:val="2"/>
            <w:shd w:val="clear" w:color="auto" w:fill="D9D9D9" w:themeFill="background1" w:themeFillShade="D9"/>
          </w:tcPr>
          <w:p w14:paraId="518612EF" w14:textId="64079600" w:rsidR="00C5436E" w:rsidRDefault="00E33025" w:rsidP="006B6A7E">
            <w:pPr>
              <w:rPr>
                <w:b/>
                <w:bCs/>
              </w:rPr>
            </w:pPr>
            <w:r>
              <w:rPr>
                <w:b/>
                <w:bCs/>
              </w:rPr>
              <w:t>7</w:t>
            </w:r>
            <w:r w:rsidR="00C5436E">
              <w:rPr>
                <w:b/>
                <w:bCs/>
              </w:rPr>
              <w:t xml:space="preserve">.1 </w:t>
            </w:r>
            <w:r w:rsidR="009E5814">
              <w:rPr>
                <w:b/>
                <w:bCs/>
              </w:rPr>
              <w:t xml:space="preserve">Mercury Data Review – </w:t>
            </w:r>
            <w:r w:rsidR="00C5436E">
              <w:rPr>
                <w:b/>
                <w:bCs/>
              </w:rPr>
              <w:t>Blank</w:t>
            </w:r>
            <w:r w:rsidR="009E5814">
              <w:rPr>
                <w:b/>
                <w:bCs/>
              </w:rPr>
              <w:t xml:space="preserve"> </w:t>
            </w:r>
            <w:r w:rsidR="00C5436E">
              <w:rPr>
                <w:b/>
                <w:bCs/>
              </w:rPr>
              <w:t>Data</w:t>
            </w:r>
          </w:p>
        </w:tc>
      </w:tr>
      <w:tr w:rsidR="00C5436E" w14:paraId="5C45CB68" w14:textId="77777777" w:rsidTr="7A6E5AE8">
        <w:trPr>
          <w:tblHeader/>
        </w:trPr>
        <w:tc>
          <w:tcPr>
            <w:tcW w:w="9350" w:type="dxa"/>
            <w:gridSpan w:val="2"/>
            <w:shd w:val="clear" w:color="auto" w:fill="D9D9D9" w:themeFill="background1" w:themeFillShade="D9"/>
          </w:tcPr>
          <w:p w14:paraId="1F6E0F18" w14:textId="4BB949EC" w:rsidR="00C5436E" w:rsidRDefault="00C5436E" w:rsidP="006B6A7E">
            <w:r w:rsidRPr="008B1ACE">
              <w:rPr>
                <w:b/>
                <w:bCs/>
              </w:rPr>
              <w:t xml:space="preserve">Mercury is analyzed using SW-846 Method 7470A for </w:t>
            </w:r>
            <w:r w:rsidRPr="218EFC8C">
              <w:rPr>
                <w:b/>
                <w:bCs/>
              </w:rPr>
              <w:t>liquid</w:t>
            </w:r>
            <w:r w:rsidRPr="008B1ACE">
              <w:rPr>
                <w:b/>
                <w:bCs/>
              </w:rPr>
              <w:t xml:space="preserve"> samples and Method 7471B for </w:t>
            </w:r>
            <w:r>
              <w:rPr>
                <w:b/>
                <w:bCs/>
              </w:rPr>
              <w:t>solid</w:t>
            </w:r>
            <w:r w:rsidRPr="008B1ACE">
              <w:rPr>
                <w:b/>
                <w:bCs/>
              </w:rPr>
              <w:t xml:space="preserve"> samples. These methods utilize a manual cold vapor atomic adsorption (AA) technique to quantify mercury. These methods have slightly different acceptance criteria than other AA methods and therefore are separated in</w:t>
            </w:r>
            <w:r w:rsidR="00EC37A5">
              <w:rPr>
                <w:b/>
                <w:bCs/>
              </w:rPr>
              <w:t>to a separate section of</w:t>
            </w:r>
            <w:r w:rsidRPr="008B1ACE">
              <w:rPr>
                <w:b/>
                <w:bCs/>
              </w:rPr>
              <w:t xml:space="preserve"> the checklist.</w:t>
            </w:r>
          </w:p>
        </w:tc>
      </w:tr>
      <w:tr w:rsidR="00C5436E" w14:paraId="416F480B" w14:textId="77777777" w:rsidTr="7A6E5AE8">
        <w:tc>
          <w:tcPr>
            <w:tcW w:w="4675" w:type="dxa"/>
            <w:shd w:val="clear" w:color="auto" w:fill="D9D9D9" w:themeFill="background1" w:themeFillShade="D9"/>
          </w:tcPr>
          <w:p w14:paraId="7C993DC1" w14:textId="44765C95" w:rsidR="00C5436E" w:rsidRDefault="00E33025" w:rsidP="006B6A7E">
            <w:r>
              <w:t>7</w:t>
            </w:r>
            <w:r w:rsidR="00C5436E">
              <w:t>.1.1</w:t>
            </w:r>
            <w:r w:rsidR="00C5436E">
              <w:tab/>
              <w:t>Was a method/preparation blank included with each batch of samples (</w:t>
            </w:r>
            <w:r w:rsidR="00004C89">
              <w:t>for each matrix</w:t>
            </w:r>
            <w:r w:rsidR="00C5436E">
              <w:t>)?</w:t>
            </w:r>
          </w:p>
          <w:p w14:paraId="1DE30150" w14:textId="77777777" w:rsidR="00C5436E" w:rsidRDefault="00C5436E" w:rsidP="006B6A7E"/>
          <w:p w14:paraId="28B618A1" w14:textId="77777777" w:rsidR="00C5436E" w:rsidRPr="004F4D35" w:rsidRDefault="00C5436E" w:rsidP="006B6A7E">
            <w:pPr>
              <w:rPr>
                <w:i/>
                <w:iCs/>
              </w:rPr>
            </w:pPr>
            <w:r w:rsidRPr="004F4D35">
              <w:rPr>
                <w:i/>
                <w:iCs/>
              </w:rPr>
              <w:t xml:space="preserve">Action: </w:t>
            </w:r>
            <w:r>
              <w:rPr>
                <w:i/>
                <w:iCs/>
              </w:rPr>
              <w:t>If no method blank was included, c</w:t>
            </w:r>
            <w:r w:rsidRPr="004F4D35">
              <w:rPr>
                <w:i/>
                <w:iCs/>
              </w:rPr>
              <w:t>onsult the lab</w:t>
            </w:r>
            <w:r>
              <w:rPr>
                <w:i/>
                <w:iCs/>
              </w:rPr>
              <w:t>oratory or applicable facility</w:t>
            </w:r>
            <w:r w:rsidRPr="004F4D35">
              <w:rPr>
                <w:i/>
                <w:iCs/>
              </w:rPr>
              <w:t xml:space="preserve"> and, if possible, have the data submitted.  If the data is not available, the data validator may apply best professional judgment to qualify the sample results.</w:t>
            </w:r>
          </w:p>
        </w:tc>
        <w:tc>
          <w:tcPr>
            <w:tcW w:w="4675" w:type="dxa"/>
          </w:tcPr>
          <w:p w14:paraId="6CDBA5A9" w14:textId="77777777" w:rsidR="00C5436E" w:rsidRPr="00D7468D" w:rsidRDefault="00C5436E" w:rsidP="006B6A7E">
            <w:pPr>
              <w:rPr>
                <w:b/>
                <w:bCs/>
              </w:rPr>
            </w:pPr>
            <w:r w:rsidRPr="00D7468D">
              <w:rPr>
                <w:b/>
                <w:bCs/>
              </w:rPr>
              <w:t>Indicate yes or no:</w:t>
            </w:r>
          </w:p>
        </w:tc>
      </w:tr>
      <w:tr w:rsidR="00CB763C" w14:paraId="088E8EAD" w14:textId="77777777" w:rsidTr="7A6E5AE8">
        <w:tc>
          <w:tcPr>
            <w:tcW w:w="4675" w:type="dxa"/>
            <w:shd w:val="clear" w:color="auto" w:fill="D9D9D9" w:themeFill="background1" w:themeFillShade="D9"/>
          </w:tcPr>
          <w:p w14:paraId="4D987C4B" w14:textId="77777777" w:rsidR="004D6CAA" w:rsidRPr="004D6CAA" w:rsidRDefault="00CB763C" w:rsidP="004D6CAA">
            <w:pPr>
              <w:rPr>
                <w:bCs/>
              </w:rPr>
            </w:pPr>
            <w:r>
              <w:t>7.1.2</w:t>
            </w:r>
            <w:r>
              <w:tab/>
            </w:r>
            <w:r w:rsidR="004D6CAA" w:rsidRPr="004D6CAA">
              <w:rPr>
                <w:bCs/>
              </w:rPr>
              <w:t>Were any samples diluted?</w:t>
            </w:r>
          </w:p>
          <w:p w14:paraId="6DE51F30" w14:textId="77777777" w:rsidR="004D6CAA" w:rsidRPr="004D6CAA" w:rsidRDefault="004D6CAA" w:rsidP="004D6CAA"/>
          <w:p w14:paraId="3ED83699" w14:textId="09EA5B65" w:rsidR="00CB763C" w:rsidRDefault="004D6CAA" w:rsidP="004D6CAA">
            <w:r w:rsidRPr="004D6CAA">
              <w:rPr>
                <w:i/>
                <w:iCs/>
              </w:rPr>
              <w:t>Action: Record the sample ID and dilution factor(s).</w:t>
            </w:r>
          </w:p>
        </w:tc>
        <w:tc>
          <w:tcPr>
            <w:tcW w:w="4675" w:type="dxa"/>
          </w:tcPr>
          <w:p w14:paraId="2FF779E2" w14:textId="77777777" w:rsidR="00C941CA" w:rsidRPr="00C941CA" w:rsidRDefault="00C941CA" w:rsidP="00C941CA">
            <w:pPr>
              <w:rPr>
                <w:b/>
                <w:bCs/>
              </w:rPr>
            </w:pPr>
            <w:r w:rsidRPr="00C941CA">
              <w:rPr>
                <w:b/>
                <w:bCs/>
              </w:rPr>
              <w:t>Indicate yes or no:</w:t>
            </w:r>
          </w:p>
          <w:p w14:paraId="0E60F1F3" w14:textId="77777777" w:rsidR="00C941CA" w:rsidRPr="00C941CA" w:rsidRDefault="00C941CA" w:rsidP="00C941CA">
            <w:pPr>
              <w:rPr>
                <w:b/>
                <w:bCs/>
              </w:rPr>
            </w:pPr>
          </w:p>
          <w:p w14:paraId="74A699C3" w14:textId="6785E9E3" w:rsidR="00C941CA" w:rsidRPr="00C941CA" w:rsidRDefault="310F20D1" w:rsidP="00C941CA">
            <w:pPr>
              <w:rPr>
                <w:b/>
                <w:bCs/>
              </w:rPr>
            </w:pPr>
            <w:r w:rsidRPr="7A6E5AE8">
              <w:rPr>
                <w:b/>
                <w:bCs/>
              </w:rPr>
              <w:t>S</w:t>
            </w:r>
            <w:r w:rsidR="00C941CA" w:rsidRPr="7A6E5AE8">
              <w:rPr>
                <w:b/>
                <w:bCs/>
              </w:rPr>
              <w:t>ample ID(s) and dilution factor(s):</w:t>
            </w:r>
          </w:p>
          <w:p w14:paraId="07B3674C" w14:textId="77777777" w:rsidR="00CB763C" w:rsidRPr="00D7468D" w:rsidRDefault="00CB763C" w:rsidP="006B6A7E">
            <w:pPr>
              <w:rPr>
                <w:b/>
                <w:bCs/>
              </w:rPr>
            </w:pPr>
          </w:p>
        </w:tc>
      </w:tr>
      <w:tr w:rsidR="00C5436E" w14:paraId="0897DD3F" w14:textId="77777777" w:rsidTr="7A6E5AE8">
        <w:tc>
          <w:tcPr>
            <w:tcW w:w="4675" w:type="dxa"/>
            <w:shd w:val="clear" w:color="auto" w:fill="D9D9D9" w:themeFill="background1" w:themeFillShade="D9"/>
          </w:tcPr>
          <w:p w14:paraId="652BAD61" w14:textId="268D923B" w:rsidR="00C5436E" w:rsidRDefault="00E33025" w:rsidP="006B6A7E">
            <w:r>
              <w:t>7</w:t>
            </w:r>
            <w:r w:rsidR="00C5436E">
              <w:t>.1.</w:t>
            </w:r>
            <w:r w:rsidR="00CB763C">
              <w:t>3</w:t>
            </w:r>
            <w:r w:rsidR="00C5436E">
              <w:tab/>
              <w:t xml:space="preserve">Did the method blank contain mercury above detectable levels? Was mercury also detected in the sample results? If so, these results are subject to qualification. </w:t>
            </w:r>
          </w:p>
          <w:p w14:paraId="57A744D8" w14:textId="77777777" w:rsidR="00C5436E" w:rsidRDefault="00C5436E" w:rsidP="006B6A7E"/>
          <w:p w14:paraId="4708EDCE" w14:textId="3C307A14" w:rsidR="00C5436E" w:rsidRPr="008178B6" w:rsidRDefault="00C5436E" w:rsidP="006B6A7E">
            <w:pPr>
              <w:rPr>
                <w:b/>
                <w:bCs/>
              </w:rPr>
            </w:pPr>
            <w:r w:rsidRPr="008178B6">
              <w:rPr>
                <w:b/>
                <w:bCs/>
              </w:rPr>
              <w:t xml:space="preserve">Note: If mercury is discovered in the method blank above </w:t>
            </w:r>
            <w:r>
              <w:rPr>
                <w:b/>
                <w:bCs/>
              </w:rPr>
              <w:t xml:space="preserve">or equal to </w:t>
            </w:r>
            <w:r w:rsidRPr="008178B6">
              <w:rPr>
                <w:b/>
                <w:bCs/>
              </w:rPr>
              <w:t xml:space="preserve">the </w:t>
            </w:r>
            <w:r>
              <w:rPr>
                <w:b/>
                <w:bCs/>
              </w:rPr>
              <w:t>quantitation</w:t>
            </w:r>
            <w:r w:rsidRPr="008178B6">
              <w:rPr>
                <w:b/>
                <w:bCs/>
              </w:rPr>
              <w:t xml:space="preserve"> limit, the lowest concentration of any sample in that batch must be </w:t>
            </w:r>
            <w:r>
              <w:rPr>
                <w:b/>
                <w:bCs/>
              </w:rPr>
              <w:t>greater than or equal to</w:t>
            </w:r>
            <w:r w:rsidRPr="008178B6">
              <w:rPr>
                <w:b/>
                <w:bCs/>
              </w:rPr>
              <w:t xml:space="preserve"> 10</w:t>
            </w:r>
            <w:r w:rsidR="009D229D">
              <w:rPr>
                <w:b/>
                <w:bCs/>
              </w:rPr>
              <w:t>x</w:t>
            </w:r>
            <w:r w:rsidR="009D229D" w:rsidRPr="008178B6">
              <w:rPr>
                <w:b/>
                <w:bCs/>
              </w:rPr>
              <w:t xml:space="preserve"> </w:t>
            </w:r>
            <w:r w:rsidRPr="008178B6">
              <w:rPr>
                <w:b/>
                <w:bCs/>
              </w:rPr>
              <w:t>the method blank concentration (after dilution is accounted for). If this is not the case, all samples in that batch should have been redigested and reanalyzed.</w:t>
            </w:r>
          </w:p>
          <w:p w14:paraId="68024A82" w14:textId="380F3D20" w:rsidR="42E52DA8" w:rsidRDefault="42E52DA8" w:rsidP="42E52DA8">
            <w:pPr>
              <w:rPr>
                <w:b/>
                <w:bCs/>
              </w:rPr>
            </w:pPr>
          </w:p>
          <w:p w14:paraId="6D0AD532" w14:textId="5F74B3FF" w:rsidR="00C5436E" w:rsidRPr="008178B6" w:rsidRDefault="00C5436E" w:rsidP="006B6A7E">
            <w:pPr>
              <w:rPr>
                <w:i/>
                <w:iCs/>
              </w:rPr>
            </w:pPr>
            <w:r w:rsidRPr="008178B6">
              <w:rPr>
                <w:i/>
                <w:iCs/>
              </w:rPr>
              <w:t xml:space="preserve">Action: Review the blank data. </w:t>
            </w:r>
            <w:r w:rsidR="008E220D">
              <w:rPr>
                <w:i/>
                <w:iCs/>
              </w:rPr>
              <w:t xml:space="preserve">Use Table </w:t>
            </w:r>
            <w:r w:rsidR="0097509A">
              <w:rPr>
                <w:i/>
                <w:iCs/>
              </w:rPr>
              <w:t>7</w:t>
            </w:r>
            <w:r w:rsidR="008E220D">
              <w:rPr>
                <w:i/>
                <w:iCs/>
              </w:rPr>
              <w:t xml:space="preserve">-1 below to qualify results. </w:t>
            </w:r>
            <w:r w:rsidRPr="008178B6">
              <w:rPr>
                <w:i/>
                <w:iCs/>
              </w:rPr>
              <w:t xml:space="preserve">If the sample results are </w:t>
            </w:r>
            <w:r w:rsidR="008E220D">
              <w:rPr>
                <w:i/>
                <w:iCs/>
              </w:rPr>
              <w:t>detected</w:t>
            </w:r>
            <w:r w:rsidR="008E220D" w:rsidRPr="008178B6">
              <w:rPr>
                <w:i/>
                <w:iCs/>
              </w:rPr>
              <w:t xml:space="preserve"> </w:t>
            </w:r>
            <w:r w:rsidR="001B4DE3">
              <w:rPr>
                <w:i/>
                <w:iCs/>
              </w:rPr>
              <w:t xml:space="preserve">at concentrations </w:t>
            </w:r>
            <w:r w:rsidR="000F4982">
              <w:rPr>
                <w:i/>
                <w:iCs/>
              </w:rPr>
              <w:t xml:space="preserve">greater than or equal to the QL </w:t>
            </w:r>
            <w:r w:rsidRPr="008178B6">
              <w:rPr>
                <w:i/>
                <w:iCs/>
              </w:rPr>
              <w:t xml:space="preserve">but less than 10 </w:t>
            </w:r>
            <w:r>
              <w:rPr>
                <w:i/>
                <w:iCs/>
              </w:rPr>
              <w:t>x</w:t>
            </w:r>
            <w:r w:rsidRPr="008178B6">
              <w:rPr>
                <w:i/>
                <w:iCs/>
              </w:rPr>
              <w:t xml:space="preserve"> the concentration in the blank, the results should </w:t>
            </w:r>
            <w:r w:rsidR="000F4982">
              <w:rPr>
                <w:i/>
                <w:iCs/>
              </w:rPr>
              <w:t xml:space="preserve">have been </w:t>
            </w:r>
            <w:r w:rsidR="00EA4185">
              <w:rPr>
                <w:i/>
                <w:iCs/>
              </w:rPr>
              <w:t>redigested and reanalyzed.</w:t>
            </w:r>
          </w:p>
        </w:tc>
        <w:tc>
          <w:tcPr>
            <w:tcW w:w="4675" w:type="dxa"/>
          </w:tcPr>
          <w:p w14:paraId="53A1D793" w14:textId="77777777" w:rsidR="00C5436E" w:rsidRDefault="00C5436E" w:rsidP="006B6A7E">
            <w:pPr>
              <w:rPr>
                <w:b/>
                <w:bCs/>
              </w:rPr>
            </w:pPr>
            <w:r w:rsidRPr="00582727">
              <w:rPr>
                <w:b/>
                <w:bCs/>
              </w:rPr>
              <w:t>Indicate yes or no:</w:t>
            </w:r>
          </w:p>
          <w:p w14:paraId="02D7F859" w14:textId="77777777" w:rsidR="00C5436E" w:rsidRDefault="00C5436E" w:rsidP="006B6A7E"/>
          <w:p w14:paraId="325F2EEC" w14:textId="69CEBAF2" w:rsidR="00C5436E" w:rsidRPr="00D7468D" w:rsidRDefault="00C5436E" w:rsidP="006B6A7E">
            <w:pPr>
              <w:rPr>
                <w:b/>
                <w:bCs/>
              </w:rPr>
            </w:pPr>
            <w:r w:rsidRPr="42E52DA8">
              <w:rPr>
                <w:b/>
                <w:bCs/>
              </w:rPr>
              <w:t>Summarize any actions taken</w:t>
            </w:r>
            <w:r w:rsidRPr="00D7468D">
              <w:rPr>
                <w:b/>
                <w:bCs/>
              </w:rPr>
              <w:t>:</w:t>
            </w:r>
          </w:p>
        </w:tc>
      </w:tr>
    </w:tbl>
    <w:p w14:paraId="450F6545" w14:textId="77777777" w:rsidR="00C5436E" w:rsidRDefault="00C5436E" w:rsidP="00C5436E"/>
    <w:tbl>
      <w:tblPr>
        <w:tblStyle w:val="TableGrid"/>
        <w:tblW w:w="0" w:type="auto"/>
        <w:tblLook w:val="04A0" w:firstRow="1" w:lastRow="0" w:firstColumn="1" w:lastColumn="0" w:noHBand="0" w:noVBand="1"/>
      </w:tblPr>
      <w:tblGrid>
        <w:gridCol w:w="2542"/>
        <w:gridCol w:w="3064"/>
        <w:gridCol w:w="3744"/>
      </w:tblGrid>
      <w:tr w:rsidR="0093580F" w:rsidRPr="0093580F" w14:paraId="5491DD26" w14:textId="77777777" w:rsidTr="00B27DC6">
        <w:trPr>
          <w:trHeight w:val="290"/>
        </w:trPr>
        <w:tc>
          <w:tcPr>
            <w:tcW w:w="14320" w:type="dxa"/>
            <w:gridSpan w:val="3"/>
            <w:shd w:val="clear" w:color="auto" w:fill="D9D9D9" w:themeFill="background1" w:themeFillShade="D9"/>
            <w:noWrap/>
            <w:hideMark/>
          </w:tcPr>
          <w:p w14:paraId="3F9F1267" w14:textId="0FDE0E64" w:rsidR="0093580F" w:rsidRPr="0093580F" w:rsidRDefault="00FE0A9A" w:rsidP="00B27DC6">
            <w:pPr>
              <w:jc w:val="center"/>
              <w:rPr>
                <w:b/>
                <w:bCs/>
              </w:rPr>
            </w:pPr>
            <w:r>
              <w:rPr>
                <w:b/>
                <w:bCs/>
              </w:rPr>
              <w:t xml:space="preserve">Table </w:t>
            </w:r>
            <w:r w:rsidR="00E33025">
              <w:rPr>
                <w:b/>
                <w:bCs/>
              </w:rPr>
              <w:t>7</w:t>
            </w:r>
            <w:r>
              <w:rPr>
                <w:b/>
                <w:bCs/>
              </w:rPr>
              <w:t xml:space="preserve">-1: </w:t>
            </w:r>
            <w:r w:rsidR="0093580F" w:rsidRPr="0093580F">
              <w:rPr>
                <w:b/>
                <w:bCs/>
              </w:rPr>
              <w:t>Blank Actions</w:t>
            </w:r>
            <w:r>
              <w:rPr>
                <w:b/>
                <w:bCs/>
              </w:rPr>
              <w:t xml:space="preserve"> for Mercury</w:t>
            </w:r>
          </w:p>
        </w:tc>
      </w:tr>
      <w:tr w:rsidR="0093580F" w:rsidRPr="0093580F" w14:paraId="7B934228" w14:textId="77777777" w:rsidTr="00B27DC6">
        <w:trPr>
          <w:trHeight w:val="290"/>
        </w:trPr>
        <w:tc>
          <w:tcPr>
            <w:tcW w:w="3870" w:type="dxa"/>
            <w:shd w:val="clear" w:color="auto" w:fill="D9D9D9" w:themeFill="background1" w:themeFillShade="D9"/>
            <w:noWrap/>
            <w:hideMark/>
          </w:tcPr>
          <w:p w14:paraId="7ADDCB93" w14:textId="77777777" w:rsidR="0093580F" w:rsidRPr="0093580F" w:rsidRDefault="0093580F" w:rsidP="00B27DC6">
            <w:pPr>
              <w:jc w:val="center"/>
              <w:rPr>
                <w:b/>
                <w:bCs/>
              </w:rPr>
            </w:pPr>
            <w:r w:rsidRPr="0093580F">
              <w:rPr>
                <w:b/>
                <w:bCs/>
              </w:rPr>
              <w:t>Blank Result</w:t>
            </w:r>
          </w:p>
        </w:tc>
        <w:tc>
          <w:tcPr>
            <w:tcW w:w="4691" w:type="dxa"/>
            <w:shd w:val="clear" w:color="auto" w:fill="D9D9D9" w:themeFill="background1" w:themeFillShade="D9"/>
            <w:noWrap/>
            <w:hideMark/>
          </w:tcPr>
          <w:p w14:paraId="29D7BF43" w14:textId="77777777" w:rsidR="0093580F" w:rsidRPr="0093580F" w:rsidRDefault="0093580F" w:rsidP="00B27DC6">
            <w:pPr>
              <w:jc w:val="center"/>
              <w:rPr>
                <w:b/>
                <w:bCs/>
              </w:rPr>
            </w:pPr>
            <w:r w:rsidRPr="0093580F">
              <w:rPr>
                <w:b/>
                <w:bCs/>
              </w:rPr>
              <w:t>Sample Result</w:t>
            </w:r>
          </w:p>
        </w:tc>
        <w:tc>
          <w:tcPr>
            <w:tcW w:w="5759" w:type="dxa"/>
            <w:shd w:val="clear" w:color="auto" w:fill="D9D9D9" w:themeFill="background1" w:themeFillShade="D9"/>
            <w:noWrap/>
            <w:hideMark/>
          </w:tcPr>
          <w:p w14:paraId="54D146BA" w14:textId="77777777" w:rsidR="0093580F" w:rsidRPr="0093580F" w:rsidRDefault="0093580F" w:rsidP="00B27DC6">
            <w:pPr>
              <w:jc w:val="center"/>
              <w:rPr>
                <w:b/>
                <w:bCs/>
              </w:rPr>
            </w:pPr>
            <w:r w:rsidRPr="0093580F">
              <w:rPr>
                <w:b/>
                <w:bCs/>
              </w:rPr>
              <w:t>Action</w:t>
            </w:r>
          </w:p>
        </w:tc>
      </w:tr>
      <w:tr w:rsidR="0093580F" w:rsidRPr="0093580F" w14:paraId="5E857B0B" w14:textId="77777777" w:rsidTr="0093580F">
        <w:trPr>
          <w:trHeight w:val="290"/>
        </w:trPr>
        <w:tc>
          <w:tcPr>
            <w:tcW w:w="3870" w:type="dxa"/>
            <w:vMerge w:val="restart"/>
            <w:noWrap/>
            <w:hideMark/>
          </w:tcPr>
          <w:p w14:paraId="5B5DEAA5" w14:textId="77777777" w:rsidR="0093580F" w:rsidRPr="0093580F" w:rsidRDefault="0093580F" w:rsidP="0093580F">
            <w:r w:rsidRPr="0093580F">
              <w:t>Not analyzed at specified frequency</w:t>
            </w:r>
          </w:p>
        </w:tc>
        <w:tc>
          <w:tcPr>
            <w:tcW w:w="4691" w:type="dxa"/>
            <w:noWrap/>
            <w:hideMark/>
          </w:tcPr>
          <w:p w14:paraId="3CFFAE5B" w14:textId="77777777" w:rsidR="0093580F" w:rsidRPr="0093580F" w:rsidRDefault="0093580F" w:rsidP="00BF7FC6">
            <w:pPr>
              <w:jc w:val="center"/>
            </w:pPr>
            <w:r w:rsidRPr="0093580F">
              <w:t>Non-detect</w:t>
            </w:r>
          </w:p>
        </w:tc>
        <w:tc>
          <w:tcPr>
            <w:tcW w:w="5759" w:type="dxa"/>
            <w:noWrap/>
            <w:hideMark/>
          </w:tcPr>
          <w:p w14:paraId="37D0C0E9" w14:textId="77777777" w:rsidR="0093580F" w:rsidRPr="0093580F" w:rsidRDefault="0093580F" w:rsidP="00BF7FC6">
            <w:pPr>
              <w:jc w:val="center"/>
            </w:pPr>
            <w:r w:rsidRPr="0093580F">
              <w:t>UJ</w:t>
            </w:r>
          </w:p>
        </w:tc>
      </w:tr>
      <w:tr w:rsidR="0093580F" w:rsidRPr="0093580F" w14:paraId="2DF95B71" w14:textId="77777777" w:rsidTr="0093580F">
        <w:trPr>
          <w:trHeight w:val="290"/>
        </w:trPr>
        <w:tc>
          <w:tcPr>
            <w:tcW w:w="3870" w:type="dxa"/>
            <w:vMerge/>
            <w:hideMark/>
          </w:tcPr>
          <w:p w14:paraId="41CE2B04" w14:textId="77777777" w:rsidR="0093580F" w:rsidRPr="0093580F" w:rsidRDefault="0093580F"/>
        </w:tc>
        <w:tc>
          <w:tcPr>
            <w:tcW w:w="4691" w:type="dxa"/>
            <w:noWrap/>
            <w:hideMark/>
          </w:tcPr>
          <w:p w14:paraId="1D550003" w14:textId="77777777" w:rsidR="0093580F" w:rsidRPr="0093580F" w:rsidRDefault="0093580F" w:rsidP="00BF7FC6">
            <w:pPr>
              <w:jc w:val="center"/>
            </w:pPr>
            <w:r w:rsidRPr="0093580F">
              <w:t>Detect</w:t>
            </w:r>
          </w:p>
        </w:tc>
        <w:tc>
          <w:tcPr>
            <w:tcW w:w="5759" w:type="dxa"/>
            <w:noWrap/>
            <w:hideMark/>
          </w:tcPr>
          <w:p w14:paraId="60EE3879" w14:textId="77777777" w:rsidR="0093580F" w:rsidRPr="0093580F" w:rsidRDefault="0093580F" w:rsidP="00BF7FC6">
            <w:pPr>
              <w:jc w:val="center"/>
            </w:pPr>
            <w:r w:rsidRPr="0093580F">
              <w:t>J</w:t>
            </w:r>
          </w:p>
        </w:tc>
      </w:tr>
      <w:tr w:rsidR="0093580F" w:rsidRPr="0093580F" w14:paraId="1D2E9C09" w14:textId="77777777" w:rsidTr="0093580F">
        <w:trPr>
          <w:trHeight w:val="290"/>
        </w:trPr>
        <w:tc>
          <w:tcPr>
            <w:tcW w:w="3870" w:type="dxa"/>
            <w:vMerge w:val="restart"/>
            <w:noWrap/>
            <w:hideMark/>
          </w:tcPr>
          <w:p w14:paraId="5235BD97" w14:textId="77777777" w:rsidR="0093580F" w:rsidRPr="0093580F" w:rsidRDefault="0093580F" w:rsidP="0093580F">
            <w:r w:rsidRPr="0093580F">
              <w:t>Detect &lt; QL</w:t>
            </w:r>
          </w:p>
        </w:tc>
        <w:tc>
          <w:tcPr>
            <w:tcW w:w="4691" w:type="dxa"/>
            <w:noWrap/>
            <w:hideMark/>
          </w:tcPr>
          <w:p w14:paraId="72B724E4" w14:textId="77777777" w:rsidR="0093580F" w:rsidRPr="0093580F" w:rsidRDefault="0093580F" w:rsidP="00BF7FC6">
            <w:pPr>
              <w:jc w:val="center"/>
            </w:pPr>
            <w:r w:rsidRPr="0093580F">
              <w:t>Non-detect</w:t>
            </w:r>
          </w:p>
        </w:tc>
        <w:tc>
          <w:tcPr>
            <w:tcW w:w="5759" w:type="dxa"/>
            <w:noWrap/>
            <w:hideMark/>
          </w:tcPr>
          <w:p w14:paraId="770F3343" w14:textId="77777777" w:rsidR="0093580F" w:rsidRPr="0093580F" w:rsidRDefault="0093580F" w:rsidP="00BF7FC6">
            <w:pPr>
              <w:jc w:val="center"/>
            </w:pPr>
            <w:r w:rsidRPr="0093580F">
              <w:t>No qualification</w:t>
            </w:r>
          </w:p>
        </w:tc>
      </w:tr>
      <w:tr w:rsidR="0093580F" w:rsidRPr="0093580F" w14:paraId="520A260A" w14:textId="77777777" w:rsidTr="0093580F">
        <w:trPr>
          <w:trHeight w:val="290"/>
        </w:trPr>
        <w:tc>
          <w:tcPr>
            <w:tcW w:w="3870" w:type="dxa"/>
            <w:vMerge/>
            <w:hideMark/>
          </w:tcPr>
          <w:p w14:paraId="2024C124" w14:textId="77777777" w:rsidR="0093580F" w:rsidRPr="0093580F" w:rsidRDefault="0093580F"/>
        </w:tc>
        <w:tc>
          <w:tcPr>
            <w:tcW w:w="4691" w:type="dxa"/>
            <w:noWrap/>
            <w:hideMark/>
          </w:tcPr>
          <w:p w14:paraId="3D123A93" w14:textId="77777777" w:rsidR="0093580F" w:rsidRPr="0093580F" w:rsidRDefault="0093580F" w:rsidP="00BF7FC6">
            <w:pPr>
              <w:jc w:val="center"/>
            </w:pPr>
            <w:r w:rsidRPr="0093580F">
              <w:t>Detect &lt; QL</w:t>
            </w:r>
          </w:p>
        </w:tc>
        <w:tc>
          <w:tcPr>
            <w:tcW w:w="5759" w:type="dxa"/>
            <w:noWrap/>
            <w:hideMark/>
          </w:tcPr>
          <w:p w14:paraId="7F5DF197" w14:textId="77777777" w:rsidR="0093580F" w:rsidRPr="0093580F" w:rsidRDefault="0093580F" w:rsidP="00BF7FC6">
            <w:pPr>
              <w:jc w:val="center"/>
            </w:pPr>
            <w:r w:rsidRPr="0093580F">
              <w:t>Report at QL and qualify U</w:t>
            </w:r>
          </w:p>
        </w:tc>
      </w:tr>
      <w:tr w:rsidR="0093580F" w:rsidRPr="0093580F" w14:paraId="1F51ED77" w14:textId="77777777" w:rsidTr="0093580F">
        <w:trPr>
          <w:trHeight w:val="290"/>
        </w:trPr>
        <w:tc>
          <w:tcPr>
            <w:tcW w:w="3870" w:type="dxa"/>
            <w:vMerge/>
            <w:hideMark/>
          </w:tcPr>
          <w:p w14:paraId="6A6234F5" w14:textId="77777777" w:rsidR="0093580F" w:rsidRPr="0093580F" w:rsidRDefault="0093580F"/>
        </w:tc>
        <w:tc>
          <w:tcPr>
            <w:tcW w:w="4691" w:type="dxa"/>
            <w:noWrap/>
            <w:hideMark/>
          </w:tcPr>
          <w:p w14:paraId="54968759" w14:textId="77777777" w:rsidR="0093580F" w:rsidRPr="0093580F" w:rsidRDefault="0093580F" w:rsidP="00BF7FC6">
            <w:pPr>
              <w:jc w:val="center"/>
            </w:pPr>
            <w:r w:rsidRPr="0093580F">
              <w:t>Detect &gt; QL</w:t>
            </w:r>
          </w:p>
        </w:tc>
        <w:tc>
          <w:tcPr>
            <w:tcW w:w="5759" w:type="dxa"/>
            <w:noWrap/>
            <w:hideMark/>
          </w:tcPr>
          <w:p w14:paraId="2DD35433" w14:textId="77777777" w:rsidR="0093580F" w:rsidRPr="0093580F" w:rsidRDefault="0093580F" w:rsidP="00BF7FC6">
            <w:pPr>
              <w:jc w:val="center"/>
            </w:pPr>
            <w:r w:rsidRPr="0093580F">
              <w:t>J+ or no qualification</w:t>
            </w:r>
          </w:p>
        </w:tc>
      </w:tr>
      <w:tr w:rsidR="0093580F" w:rsidRPr="0093580F" w14:paraId="42B1577E" w14:textId="77777777" w:rsidTr="0093580F">
        <w:trPr>
          <w:trHeight w:val="290"/>
        </w:trPr>
        <w:tc>
          <w:tcPr>
            <w:tcW w:w="3870" w:type="dxa"/>
            <w:vMerge w:val="restart"/>
            <w:noWrap/>
            <w:hideMark/>
          </w:tcPr>
          <w:p w14:paraId="250FA5E7" w14:textId="5694E445" w:rsidR="0093580F" w:rsidRPr="0093580F" w:rsidRDefault="0093580F" w:rsidP="0093580F">
            <w:r w:rsidRPr="0093580F">
              <w:t>≤ (-MDL) but &gt; (-QL)</w:t>
            </w:r>
          </w:p>
        </w:tc>
        <w:tc>
          <w:tcPr>
            <w:tcW w:w="4691" w:type="dxa"/>
            <w:noWrap/>
            <w:hideMark/>
          </w:tcPr>
          <w:p w14:paraId="645C672E" w14:textId="77777777" w:rsidR="0093580F" w:rsidRPr="0093580F" w:rsidRDefault="0093580F" w:rsidP="00BF7FC6">
            <w:pPr>
              <w:jc w:val="center"/>
            </w:pPr>
            <w:r w:rsidRPr="0093580F">
              <w:t>Non-detect</w:t>
            </w:r>
          </w:p>
        </w:tc>
        <w:tc>
          <w:tcPr>
            <w:tcW w:w="5759" w:type="dxa"/>
            <w:noWrap/>
            <w:hideMark/>
          </w:tcPr>
          <w:p w14:paraId="47EF4EDD" w14:textId="77777777" w:rsidR="0093580F" w:rsidRPr="0093580F" w:rsidRDefault="0093580F" w:rsidP="00BF7FC6">
            <w:pPr>
              <w:jc w:val="center"/>
            </w:pPr>
            <w:r w:rsidRPr="0093580F">
              <w:t>UJ</w:t>
            </w:r>
          </w:p>
        </w:tc>
      </w:tr>
      <w:tr w:rsidR="0093580F" w:rsidRPr="0093580F" w14:paraId="7A0D1FF2" w14:textId="77777777" w:rsidTr="0093580F">
        <w:trPr>
          <w:trHeight w:val="290"/>
        </w:trPr>
        <w:tc>
          <w:tcPr>
            <w:tcW w:w="3870" w:type="dxa"/>
            <w:vMerge/>
            <w:hideMark/>
          </w:tcPr>
          <w:p w14:paraId="28764322" w14:textId="77777777" w:rsidR="0093580F" w:rsidRPr="0093580F" w:rsidRDefault="0093580F"/>
        </w:tc>
        <w:tc>
          <w:tcPr>
            <w:tcW w:w="4691" w:type="dxa"/>
            <w:noWrap/>
            <w:hideMark/>
          </w:tcPr>
          <w:p w14:paraId="5BFA3855" w14:textId="77777777" w:rsidR="0093580F" w:rsidRPr="0093580F" w:rsidRDefault="0093580F" w:rsidP="00BF7FC6">
            <w:pPr>
              <w:jc w:val="center"/>
            </w:pPr>
            <w:r w:rsidRPr="0093580F">
              <w:t>Detect</w:t>
            </w:r>
          </w:p>
        </w:tc>
        <w:tc>
          <w:tcPr>
            <w:tcW w:w="5759" w:type="dxa"/>
            <w:noWrap/>
            <w:hideMark/>
          </w:tcPr>
          <w:p w14:paraId="294FEB93" w14:textId="77777777" w:rsidR="0093580F" w:rsidRPr="0093580F" w:rsidRDefault="0093580F" w:rsidP="00BF7FC6">
            <w:pPr>
              <w:jc w:val="center"/>
            </w:pPr>
            <w:r w:rsidRPr="0093580F">
              <w:t>J- or no qualification</w:t>
            </w:r>
          </w:p>
        </w:tc>
      </w:tr>
      <w:tr w:rsidR="0093580F" w:rsidRPr="0093580F" w14:paraId="563A8551" w14:textId="77777777" w:rsidTr="0093580F">
        <w:trPr>
          <w:trHeight w:val="290"/>
        </w:trPr>
        <w:tc>
          <w:tcPr>
            <w:tcW w:w="3870" w:type="dxa"/>
            <w:vMerge w:val="restart"/>
            <w:noWrap/>
            <w:hideMark/>
          </w:tcPr>
          <w:p w14:paraId="648F73EF" w14:textId="3D11A08E" w:rsidR="0093580F" w:rsidRPr="0093580F" w:rsidRDefault="0093580F" w:rsidP="0093580F">
            <w:r w:rsidRPr="0093580F">
              <w:t>≥ QL</w:t>
            </w:r>
          </w:p>
        </w:tc>
        <w:tc>
          <w:tcPr>
            <w:tcW w:w="4691" w:type="dxa"/>
            <w:noWrap/>
            <w:hideMark/>
          </w:tcPr>
          <w:p w14:paraId="6E5F7CC0" w14:textId="77777777" w:rsidR="0093580F" w:rsidRPr="0093580F" w:rsidRDefault="0093580F" w:rsidP="00BF7FC6">
            <w:pPr>
              <w:jc w:val="center"/>
            </w:pPr>
            <w:r w:rsidRPr="0093580F">
              <w:t>Non-detect</w:t>
            </w:r>
          </w:p>
        </w:tc>
        <w:tc>
          <w:tcPr>
            <w:tcW w:w="5759" w:type="dxa"/>
            <w:noWrap/>
            <w:hideMark/>
          </w:tcPr>
          <w:p w14:paraId="6041C54A" w14:textId="77777777" w:rsidR="0093580F" w:rsidRPr="0093580F" w:rsidRDefault="0093580F" w:rsidP="00BF7FC6">
            <w:pPr>
              <w:jc w:val="center"/>
            </w:pPr>
            <w:r w:rsidRPr="0093580F">
              <w:t>No qualification</w:t>
            </w:r>
          </w:p>
        </w:tc>
      </w:tr>
      <w:tr w:rsidR="0093580F" w:rsidRPr="0093580F" w14:paraId="3A120772" w14:textId="77777777" w:rsidTr="0093580F">
        <w:trPr>
          <w:trHeight w:val="290"/>
        </w:trPr>
        <w:tc>
          <w:tcPr>
            <w:tcW w:w="3870" w:type="dxa"/>
            <w:vMerge/>
            <w:hideMark/>
          </w:tcPr>
          <w:p w14:paraId="1E1961AC" w14:textId="77777777" w:rsidR="0093580F" w:rsidRPr="0093580F" w:rsidRDefault="0093580F"/>
        </w:tc>
        <w:tc>
          <w:tcPr>
            <w:tcW w:w="4691" w:type="dxa"/>
            <w:noWrap/>
            <w:hideMark/>
          </w:tcPr>
          <w:p w14:paraId="4EC4D6E1" w14:textId="77777777" w:rsidR="0093580F" w:rsidRPr="0093580F" w:rsidRDefault="0093580F" w:rsidP="00BF7FC6">
            <w:pPr>
              <w:jc w:val="center"/>
            </w:pPr>
            <w:r w:rsidRPr="0093580F">
              <w:t>Detect &lt; QL</w:t>
            </w:r>
          </w:p>
        </w:tc>
        <w:tc>
          <w:tcPr>
            <w:tcW w:w="5759" w:type="dxa"/>
            <w:noWrap/>
            <w:hideMark/>
          </w:tcPr>
          <w:p w14:paraId="707455F2" w14:textId="77777777" w:rsidR="0093580F" w:rsidRPr="0093580F" w:rsidRDefault="0093580F" w:rsidP="00BF7FC6">
            <w:pPr>
              <w:jc w:val="center"/>
            </w:pPr>
            <w:r w:rsidRPr="0093580F">
              <w:t>Report at QL and qualify U</w:t>
            </w:r>
          </w:p>
        </w:tc>
      </w:tr>
      <w:tr w:rsidR="0093580F" w:rsidRPr="0093580F" w14:paraId="1B52D846" w14:textId="77777777" w:rsidTr="0093580F">
        <w:trPr>
          <w:trHeight w:val="290"/>
        </w:trPr>
        <w:tc>
          <w:tcPr>
            <w:tcW w:w="3870" w:type="dxa"/>
            <w:vMerge/>
            <w:hideMark/>
          </w:tcPr>
          <w:p w14:paraId="60B474DB" w14:textId="77777777" w:rsidR="0093580F" w:rsidRPr="0093580F" w:rsidRDefault="0093580F"/>
        </w:tc>
        <w:tc>
          <w:tcPr>
            <w:tcW w:w="4691" w:type="dxa"/>
            <w:noWrap/>
            <w:hideMark/>
          </w:tcPr>
          <w:p w14:paraId="05F3EA9A" w14:textId="77777777" w:rsidR="0093580F" w:rsidRPr="0093580F" w:rsidRDefault="0093580F" w:rsidP="00BF7FC6">
            <w:pPr>
              <w:jc w:val="center"/>
            </w:pPr>
            <w:r w:rsidRPr="0093580F">
              <w:t>≥ QL but &lt; 10x the Preparation Blank Result</w:t>
            </w:r>
          </w:p>
        </w:tc>
        <w:tc>
          <w:tcPr>
            <w:tcW w:w="5759" w:type="dxa"/>
            <w:noWrap/>
            <w:hideMark/>
          </w:tcPr>
          <w:p w14:paraId="797BBEC7" w14:textId="77777777" w:rsidR="0093580F" w:rsidRPr="0093580F" w:rsidRDefault="0093580F" w:rsidP="00BF7FC6">
            <w:pPr>
              <w:jc w:val="center"/>
            </w:pPr>
            <w:r w:rsidRPr="0093580F">
              <w:t>Report at Preparation Blank Result and qualify J+ or R</w:t>
            </w:r>
          </w:p>
        </w:tc>
      </w:tr>
      <w:tr w:rsidR="0093580F" w:rsidRPr="0093580F" w14:paraId="678FA146" w14:textId="77777777" w:rsidTr="0093580F">
        <w:trPr>
          <w:trHeight w:val="290"/>
        </w:trPr>
        <w:tc>
          <w:tcPr>
            <w:tcW w:w="3870" w:type="dxa"/>
            <w:vMerge/>
            <w:hideMark/>
          </w:tcPr>
          <w:p w14:paraId="543FB232" w14:textId="77777777" w:rsidR="0093580F" w:rsidRPr="0093580F" w:rsidRDefault="0093580F"/>
        </w:tc>
        <w:tc>
          <w:tcPr>
            <w:tcW w:w="4691" w:type="dxa"/>
            <w:noWrap/>
            <w:hideMark/>
          </w:tcPr>
          <w:p w14:paraId="2AA40DEB" w14:textId="77777777" w:rsidR="0093580F" w:rsidRPr="0093580F" w:rsidRDefault="0093580F" w:rsidP="00BF7FC6">
            <w:pPr>
              <w:jc w:val="center"/>
            </w:pPr>
            <w:r w:rsidRPr="0093580F">
              <w:t>≥ 10x the Preparation Blank Result</w:t>
            </w:r>
          </w:p>
        </w:tc>
        <w:tc>
          <w:tcPr>
            <w:tcW w:w="5759" w:type="dxa"/>
            <w:noWrap/>
            <w:hideMark/>
          </w:tcPr>
          <w:p w14:paraId="72B6BD78" w14:textId="77777777" w:rsidR="0093580F" w:rsidRPr="0093580F" w:rsidRDefault="0093580F" w:rsidP="00BF7FC6">
            <w:pPr>
              <w:jc w:val="center"/>
            </w:pPr>
            <w:r w:rsidRPr="0093580F">
              <w:t>No qualification</w:t>
            </w:r>
          </w:p>
        </w:tc>
      </w:tr>
      <w:tr w:rsidR="0093580F" w:rsidRPr="0093580F" w14:paraId="5FE062E6" w14:textId="77777777" w:rsidTr="0093580F">
        <w:trPr>
          <w:trHeight w:val="290"/>
        </w:trPr>
        <w:tc>
          <w:tcPr>
            <w:tcW w:w="3870" w:type="dxa"/>
            <w:vMerge w:val="restart"/>
            <w:noWrap/>
            <w:hideMark/>
          </w:tcPr>
          <w:p w14:paraId="0C2ADDDD" w14:textId="279406B5" w:rsidR="0093580F" w:rsidRPr="0093580F" w:rsidRDefault="0093580F" w:rsidP="0093580F">
            <w:r w:rsidRPr="0093580F">
              <w:t>≤ (-QL)</w:t>
            </w:r>
          </w:p>
        </w:tc>
        <w:tc>
          <w:tcPr>
            <w:tcW w:w="4691" w:type="dxa"/>
            <w:noWrap/>
            <w:hideMark/>
          </w:tcPr>
          <w:p w14:paraId="638E1C2F" w14:textId="77777777" w:rsidR="0093580F" w:rsidRPr="0093580F" w:rsidRDefault="0093580F" w:rsidP="00BF7FC6">
            <w:pPr>
              <w:jc w:val="center"/>
            </w:pPr>
            <w:r w:rsidRPr="0093580F">
              <w:t>Non-detect</w:t>
            </w:r>
          </w:p>
        </w:tc>
        <w:tc>
          <w:tcPr>
            <w:tcW w:w="5759" w:type="dxa"/>
            <w:noWrap/>
            <w:hideMark/>
          </w:tcPr>
          <w:p w14:paraId="5DDC1A0E" w14:textId="77777777" w:rsidR="0093580F" w:rsidRPr="0093580F" w:rsidRDefault="0093580F" w:rsidP="00BF7FC6">
            <w:pPr>
              <w:jc w:val="center"/>
            </w:pPr>
            <w:r w:rsidRPr="0093580F">
              <w:t>UJ</w:t>
            </w:r>
          </w:p>
        </w:tc>
      </w:tr>
      <w:tr w:rsidR="0093580F" w:rsidRPr="0093580F" w14:paraId="484B5839" w14:textId="77777777" w:rsidTr="0093580F">
        <w:trPr>
          <w:trHeight w:val="290"/>
        </w:trPr>
        <w:tc>
          <w:tcPr>
            <w:tcW w:w="3870" w:type="dxa"/>
            <w:vMerge/>
            <w:hideMark/>
          </w:tcPr>
          <w:p w14:paraId="3E3F0D43" w14:textId="77777777" w:rsidR="0093580F" w:rsidRPr="0093580F" w:rsidRDefault="0093580F"/>
        </w:tc>
        <w:tc>
          <w:tcPr>
            <w:tcW w:w="4691" w:type="dxa"/>
            <w:noWrap/>
            <w:hideMark/>
          </w:tcPr>
          <w:p w14:paraId="13EC98E9" w14:textId="77777777" w:rsidR="0093580F" w:rsidRPr="0093580F" w:rsidRDefault="0093580F" w:rsidP="00BF7FC6">
            <w:pPr>
              <w:jc w:val="center"/>
            </w:pPr>
            <w:r w:rsidRPr="0093580F">
              <w:t>Detect &lt; QL</w:t>
            </w:r>
          </w:p>
        </w:tc>
        <w:tc>
          <w:tcPr>
            <w:tcW w:w="5759" w:type="dxa"/>
            <w:noWrap/>
            <w:hideMark/>
          </w:tcPr>
          <w:p w14:paraId="76B2E6C0" w14:textId="77777777" w:rsidR="0093580F" w:rsidRPr="0093580F" w:rsidRDefault="0093580F" w:rsidP="00BF7FC6">
            <w:pPr>
              <w:jc w:val="center"/>
            </w:pPr>
            <w:r w:rsidRPr="0093580F">
              <w:t>J-</w:t>
            </w:r>
          </w:p>
        </w:tc>
      </w:tr>
      <w:tr w:rsidR="0093580F" w:rsidRPr="0093580F" w14:paraId="46EAF8EF" w14:textId="77777777" w:rsidTr="0093580F">
        <w:trPr>
          <w:trHeight w:val="290"/>
        </w:trPr>
        <w:tc>
          <w:tcPr>
            <w:tcW w:w="3870" w:type="dxa"/>
            <w:vMerge/>
            <w:hideMark/>
          </w:tcPr>
          <w:p w14:paraId="0D8461F2" w14:textId="77777777" w:rsidR="0093580F" w:rsidRPr="0093580F" w:rsidRDefault="0093580F"/>
        </w:tc>
        <w:tc>
          <w:tcPr>
            <w:tcW w:w="4691" w:type="dxa"/>
            <w:noWrap/>
            <w:hideMark/>
          </w:tcPr>
          <w:p w14:paraId="2AAE2F39" w14:textId="77777777" w:rsidR="0093580F" w:rsidRPr="0093580F" w:rsidRDefault="0093580F" w:rsidP="00BF7FC6">
            <w:pPr>
              <w:jc w:val="center"/>
            </w:pPr>
            <w:r w:rsidRPr="0093580F">
              <w:t>≥ QL but &lt; 10x QL</w:t>
            </w:r>
          </w:p>
        </w:tc>
        <w:tc>
          <w:tcPr>
            <w:tcW w:w="5759" w:type="dxa"/>
            <w:noWrap/>
            <w:hideMark/>
          </w:tcPr>
          <w:p w14:paraId="77565AEC" w14:textId="77777777" w:rsidR="0093580F" w:rsidRPr="0093580F" w:rsidRDefault="0093580F" w:rsidP="00BF7FC6">
            <w:pPr>
              <w:jc w:val="center"/>
            </w:pPr>
            <w:r w:rsidRPr="0093580F">
              <w:t>J-</w:t>
            </w:r>
          </w:p>
        </w:tc>
      </w:tr>
      <w:tr w:rsidR="0093580F" w:rsidRPr="0093580F" w14:paraId="1CC39B5B" w14:textId="77777777" w:rsidTr="0093580F">
        <w:trPr>
          <w:trHeight w:val="290"/>
        </w:trPr>
        <w:tc>
          <w:tcPr>
            <w:tcW w:w="3870" w:type="dxa"/>
            <w:vMerge/>
            <w:hideMark/>
          </w:tcPr>
          <w:p w14:paraId="3F5CC390" w14:textId="77777777" w:rsidR="0093580F" w:rsidRPr="0093580F" w:rsidRDefault="0093580F"/>
        </w:tc>
        <w:tc>
          <w:tcPr>
            <w:tcW w:w="4691" w:type="dxa"/>
            <w:noWrap/>
            <w:hideMark/>
          </w:tcPr>
          <w:p w14:paraId="64C743E0" w14:textId="77777777" w:rsidR="0093580F" w:rsidRPr="0093580F" w:rsidRDefault="0093580F" w:rsidP="00BF7FC6">
            <w:pPr>
              <w:jc w:val="center"/>
            </w:pPr>
            <w:r w:rsidRPr="0093580F">
              <w:t>≥ 10x QL</w:t>
            </w:r>
          </w:p>
        </w:tc>
        <w:tc>
          <w:tcPr>
            <w:tcW w:w="5759" w:type="dxa"/>
            <w:noWrap/>
            <w:hideMark/>
          </w:tcPr>
          <w:p w14:paraId="4B83DD0A" w14:textId="77777777" w:rsidR="0093580F" w:rsidRPr="0093580F" w:rsidRDefault="0093580F" w:rsidP="00BF7FC6">
            <w:pPr>
              <w:jc w:val="center"/>
            </w:pPr>
            <w:r w:rsidRPr="0093580F">
              <w:t>No qualification</w:t>
            </w:r>
          </w:p>
        </w:tc>
      </w:tr>
    </w:tbl>
    <w:p w14:paraId="3F52E225" w14:textId="18D0F167" w:rsidR="2FAF7207" w:rsidRDefault="2FAF7207" w:rsidP="2FAF7207"/>
    <w:tbl>
      <w:tblPr>
        <w:tblStyle w:val="TableGrid"/>
        <w:tblW w:w="0" w:type="auto"/>
        <w:tblLook w:val="04A0" w:firstRow="1" w:lastRow="0" w:firstColumn="1" w:lastColumn="0" w:noHBand="0" w:noVBand="1"/>
      </w:tblPr>
      <w:tblGrid>
        <w:gridCol w:w="4675"/>
        <w:gridCol w:w="4675"/>
      </w:tblGrid>
      <w:tr w:rsidR="00C5436E" w:rsidRPr="00582727" w14:paraId="565D67B3" w14:textId="77777777" w:rsidTr="006B6A7E">
        <w:tc>
          <w:tcPr>
            <w:tcW w:w="9350" w:type="dxa"/>
            <w:gridSpan w:val="2"/>
            <w:shd w:val="clear" w:color="auto" w:fill="D9D9D9" w:themeFill="background1" w:themeFillShade="D9"/>
          </w:tcPr>
          <w:p w14:paraId="7AACE86C" w14:textId="6792C520" w:rsidR="00C5436E" w:rsidRPr="00582727" w:rsidRDefault="00E33025" w:rsidP="006B6A7E">
            <w:pPr>
              <w:rPr>
                <w:b/>
                <w:bCs/>
              </w:rPr>
            </w:pPr>
            <w:r>
              <w:rPr>
                <w:b/>
                <w:bCs/>
              </w:rPr>
              <w:t>7</w:t>
            </w:r>
            <w:r w:rsidR="00C5436E">
              <w:rPr>
                <w:b/>
                <w:bCs/>
              </w:rPr>
              <w:t>.2 Mercury Data Review – Laboratory Control Sample</w:t>
            </w:r>
          </w:p>
        </w:tc>
      </w:tr>
      <w:tr w:rsidR="00C5436E" w14:paraId="7D3506A4" w14:textId="77777777" w:rsidTr="006B6A7E">
        <w:tc>
          <w:tcPr>
            <w:tcW w:w="9350" w:type="dxa"/>
            <w:gridSpan w:val="2"/>
            <w:shd w:val="clear" w:color="auto" w:fill="D9D9D9" w:themeFill="background1" w:themeFillShade="D9"/>
          </w:tcPr>
          <w:p w14:paraId="58603097" w14:textId="4B20BCC0" w:rsidR="00C5436E" w:rsidRDefault="00C5436E" w:rsidP="006B6A7E">
            <w:pPr>
              <w:rPr>
                <w:b/>
                <w:bCs/>
              </w:rPr>
            </w:pPr>
            <w:r>
              <w:rPr>
                <w:b/>
                <w:bCs/>
              </w:rPr>
              <w:t xml:space="preserve">Laboratory Control Samples (LCSs) are </w:t>
            </w:r>
            <w:r w:rsidRPr="42E52DA8">
              <w:rPr>
                <w:b/>
                <w:bCs/>
              </w:rPr>
              <w:t xml:space="preserve">analyte-free water or </w:t>
            </w:r>
            <w:r w:rsidR="00641C0F" w:rsidRPr="42E52DA8">
              <w:rPr>
                <w:b/>
                <w:bCs/>
              </w:rPr>
              <w:t>solid</w:t>
            </w:r>
            <w:r w:rsidRPr="42E52DA8">
              <w:rPr>
                <w:b/>
                <w:bCs/>
              </w:rPr>
              <w:t>, clean control</w:t>
            </w:r>
            <w:r>
              <w:rPr>
                <w:b/>
                <w:bCs/>
              </w:rPr>
              <w:t xml:space="preserve"> matrixes </w:t>
            </w:r>
            <w:proofErr w:type="gramStart"/>
            <w:r w:rsidRPr="42E52DA8">
              <w:rPr>
                <w:b/>
                <w:bCs/>
              </w:rPr>
              <w:t>similar to</w:t>
            </w:r>
            <w:proofErr w:type="gramEnd"/>
            <w:r w:rsidRPr="42E52DA8">
              <w:rPr>
                <w:b/>
                <w:bCs/>
              </w:rPr>
              <w:t xml:space="preserve"> the sample matrix, </w:t>
            </w:r>
            <w:r>
              <w:rPr>
                <w:b/>
                <w:bCs/>
              </w:rPr>
              <w:t xml:space="preserve">spiked with target analytes at known concentrations. LCSs are analyzed using the same sample preparation, reagents, and analytical methods employed for the </w:t>
            </w:r>
            <w:r w:rsidR="003105A4">
              <w:rPr>
                <w:b/>
                <w:bCs/>
              </w:rPr>
              <w:t xml:space="preserve">received </w:t>
            </w:r>
            <w:r>
              <w:rPr>
                <w:b/>
                <w:bCs/>
              </w:rPr>
              <w:t xml:space="preserve">samples. LCS </w:t>
            </w:r>
            <w:r w:rsidRPr="008975C8">
              <w:rPr>
                <w:b/>
                <w:bCs/>
              </w:rPr>
              <w:t xml:space="preserve">criteria listed in this section are determined from </w:t>
            </w:r>
            <w:r w:rsidR="00B704B6">
              <w:rPr>
                <w:b/>
                <w:bCs/>
              </w:rPr>
              <w:t>Method 7471B</w:t>
            </w:r>
            <w:r w:rsidR="00FB48BB">
              <w:rPr>
                <w:b/>
                <w:bCs/>
              </w:rPr>
              <w:t>.</w:t>
            </w:r>
            <w:r w:rsidRPr="42E52DA8">
              <w:rPr>
                <w:b/>
                <w:bCs/>
              </w:rPr>
              <w:t xml:space="preserve"> </w:t>
            </w:r>
          </w:p>
        </w:tc>
      </w:tr>
      <w:tr w:rsidR="00D213F6" w14:paraId="50DD33BF" w14:textId="77777777" w:rsidTr="00912FEF">
        <w:tc>
          <w:tcPr>
            <w:tcW w:w="4675" w:type="dxa"/>
            <w:shd w:val="clear" w:color="auto" w:fill="D9D9D9" w:themeFill="background1" w:themeFillShade="D9"/>
          </w:tcPr>
          <w:p w14:paraId="03CDEF3A" w14:textId="3D6D42F2" w:rsidR="00D213F6" w:rsidRDefault="00E33025" w:rsidP="42E52DA8">
            <w:r>
              <w:t>7</w:t>
            </w:r>
            <w:r w:rsidR="00D213F6" w:rsidRPr="00912FEF">
              <w:t>.2.1</w:t>
            </w:r>
            <w:r w:rsidR="00D213F6">
              <w:tab/>
              <w:t>Was an LCS prepared, extracted, analyzed, and reported once per batch of 20 samples?</w:t>
            </w:r>
          </w:p>
          <w:p w14:paraId="1B142A29" w14:textId="77777777" w:rsidR="00636896" w:rsidRDefault="00636896" w:rsidP="42E52DA8"/>
          <w:p w14:paraId="6F2EE827" w14:textId="77777777" w:rsidR="00636896" w:rsidRDefault="00636896" w:rsidP="006368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Note:  This information should be included in the QA package provided by the lab. If not, contact the laboratory and request that the information be submitted. This information should be found in the injection log.</w:t>
            </w:r>
            <w:r>
              <w:rPr>
                <w:rStyle w:val="eop"/>
                <w:rFonts w:ascii="Calibri" w:hAnsi="Calibri" w:cs="Calibri"/>
                <w:sz w:val="22"/>
                <w:szCs w:val="22"/>
              </w:rPr>
              <w:t> </w:t>
            </w:r>
          </w:p>
          <w:p w14:paraId="758D2131" w14:textId="77777777" w:rsidR="00636896" w:rsidRDefault="00636896" w:rsidP="006368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3F4CE9" w14:textId="66EB5B52" w:rsidR="00636896" w:rsidRDefault="00636896" w:rsidP="006368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Action:  If LCS information cannot be found, contact the applicable party or laboratory for re-submittal of the data package. If LCS information is not present, qualify all detected results as “J” and all non-detect results as “UJ”</w:t>
            </w:r>
            <w:r w:rsidR="00F24A94">
              <w:rPr>
                <w:rStyle w:val="normaltextrun"/>
                <w:rFonts w:ascii="Calibri" w:hAnsi="Calibri" w:cs="Calibri"/>
                <w:i/>
                <w:iCs/>
                <w:sz w:val="22"/>
                <w:szCs w:val="22"/>
              </w:rPr>
              <w:t>,</w:t>
            </w:r>
            <w:r>
              <w:rPr>
                <w:rStyle w:val="normaltextrun"/>
                <w:rFonts w:ascii="Calibri" w:hAnsi="Calibri" w:cs="Calibri"/>
                <w:i/>
                <w:iCs/>
                <w:sz w:val="22"/>
                <w:szCs w:val="22"/>
              </w:rPr>
              <w:t xml:space="preserve"> or reject all results based on best professional judgment.</w:t>
            </w:r>
            <w:r>
              <w:rPr>
                <w:rStyle w:val="eop"/>
                <w:rFonts w:ascii="Calibri" w:hAnsi="Calibri" w:cs="Calibri"/>
                <w:sz w:val="22"/>
                <w:szCs w:val="22"/>
              </w:rPr>
              <w:t> </w:t>
            </w:r>
          </w:p>
          <w:p w14:paraId="4CADA875" w14:textId="50710686" w:rsidR="00636896" w:rsidRPr="00D213F6" w:rsidRDefault="00636896" w:rsidP="42E52DA8"/>
        </w:tc>
        <w:tc>
          <w:tcPr>
            <w:tcW w:w="4675" w:type="dxa"/>
            <w:shd w:val="clear" w:color="auto" w:fill="auto"/>
          </w:tcPr>
          <w:p w14:paraId="76D4D9E1" w14:textId="77777777" w:rsidR="00D213F6" w:rsidRDefault="00636896" w:rsidP="42E52DA8">
            <w:pPr>
              <w:rPr>
                <w:b/>
                <w:bCs/>
              </w:rPr>
            </w:pPr>
            <w:r>
              <w:rPr>
                <w:b/>
                <w:bCs/>
              </w:rPr>
              <w:t>Indicate yes or no:</w:t>
            </w:r>
          </w:p>
          <w:p w14:paraId="02AD8322" w14:textId="77777777" w:rsidR="00636896" w:rsidRDefault="00636896" w:rsidP="42E52DA8">
            <w:pPr>
              <w:rPr>
                <w:b/>
                <w:bCs/>
              </w:rPr>
            </w:pPr>
          </w:p>
          <w:p w14:paraId="2CD1280A" w14:textId="78D77C51" w:rsidR="00636896" w:rsidRPr="00636896" w:rsidRDefault="00636896" w:rsidP="42E52DA8">
            <w:pPr>
              <w:rPr>
                <w:b/>
                <w:bCs/>
              </w:rPr>
            </w:pPr>
            <w:r>
              <w:rPr>
                <w:b/>
                <w:bCs/>
              </w:rPr>
              <w:t>Summarize any actions taken:</w:t>
            </w:r>
          </w:p>
        </w:tc>
      </w:tr>
      <w:tr w:rsidR="00C5436E" w14:paraId="650EA99E" w14:textId="77777777" w:rsidTr="006B6A7E">
        <w:tc>
          <w:tcPr>
            <w:tcW w:w="4675" w:type="dxa"/>
            <w:shd w:val="clear" w:color="auto" w:fill="D9D9D9" w:themeFill="background1" w:themeFillShade="D9"/>
          </w:tcPr>
          <w:p w14:paraId="764CB018" w14:textId="69FD0B55" w:rsidR="00C5436E" w:rsidRPr="00EF3EDC" w:rsidRDefault="00E33025" w:rsidP="006B6A7E">
            <w:r>
              <w:t>7</w:t>
            </w:r>
            <w:r w:rsidR="00C5436E" w:rsidRPr="00EF3EDC">
              <w:t>.</w:t>
            </w:r>
            <w:r w:rsidR="00C5436E">
              <w:t>2.2</w:t>
            </w:r>
            <w:r w:rsidR="00C5436E" w:rsidRPr="00EF3EDC">
              <w:tab/>
              <w:t xml:space="preserve"> Was </w:t>
            </w:r>
            <w:r w:rsidR="00684516">
              <w:t>the</w:t>
            </w:r>
            <w:r w:rsidR="00684516" w:rsidRPr="00EF3EDC">
              <w:t xml:space="preserve"> </w:t>
            </w:r>
            <w:r w:rsidR="00C5436E" w:rsidRPr="00EF3EDC">
              <w:t xml:space="preserve">LCS within </w:t>
            </w:r>
            <w:r w:rsidR="00006F80">
              <w:t>suggested</w:t>
            </w:r>
            <w:r w:rsidR="00C5436E">
              <w:t xml:space="preserve"> </w:t>
            </w:r>
            <w:r w:rsidR="00C5436E" w:rsidRPr="00EF3EDC">
              <w:t>QC limits (80 to 120</w:t>
            </w:r>
            <w:r w:rsidR="00C5436E">
              <w:t>%)</w:t>
            </w:r>
            <w:r w:rsidR="00006F80">
              <w:t xml:space="preserve"> or limits provided by the lab</w:t>
            </w:r>
            <w:r w:rsidR="00C5436E">
              <w:t>?</w:t>
            </w:r>
          </w:p>
          <w:p w14:paraId="770C85EC" w14:textId="77777777" w:rsidR="00C5436E" w:rsidRPr="00063828" w:rsidRDefault="00C5436E" w:rsidP="006B6A7E">
            <w:pPr>
              <w:rPr>
                <w:i/>
                <w:iCs/>
              </w:rPr>
            </w:pPr>
          </w:p>
          <w:p w14:paraId="367A9CA8" w14:textId="425A88EE" w:rsidR="00C5436E" w:rsidRPr="00985CA0" w:rsidRDefault="00C5436E" w:rsidP="006B6A7E">
            <w:pPr>
              <w:rPr>
                <w:b/>
                <w:bCs/>
              </w:rPr>
            </w:pPr>
            <w:r w:rsidRPr="00985CA0">
              <w:rPr>
                <w:b/>
                <w:bCs/>
              </w:rPr>
              <w:t xml:space="preserve">Note:  </w:t>
            </w:r>
            <w:r w:rsidR="00B01748" w:rsidRPr="00985CA0">
              <w:rPr>
                <w:b/>
                <w:bCs/>
              </w:rPr>
              <w:t xml:space="preserve">Use 80% - 120% unless appropriate lab-specific LCS limits have been developed. </w:t>
            </w:r>
            <w:r w:rsidRPr="00985CA0">
              <w:rPr>
                <w:b/>
                <w:bCs/>
              </w:rPr>
              <w:t>The results for a</w:t>
            </w:r>
            <w:r w:rsidR="003F1E7F" w:rsidRPr="00985CA0">
              <w:rPr>
                <w:b/>
                <w:bCs/>
              </w:rPr>
              <w:t>n</w:t>
            </w:r>
            <w:r w:rsidRPr="00985CA0">
              <w:rPr>
                <w:b/>
                <w:bCs/>
              </w:rPr>
              <w:t xml:space="preserve"> LCS should always be within the control limits. </w:t>
            </w:r>
            <w:r w:rsidR="003E3073" w:rsidRPr="00985CA0">
              <w:rPr>
                <w:b/>
                <w:bCs/>
              </w:rPr>
              <w:t>If out of limits, t</w:t>
            </w:r>
            <w:r w:rsidRPr="00985CA0">
              <w:rPr>
                <w:b/>
                <w:bCs/>
              </w:rPr>
              <w:t xml:space="preserve">he laboratory should terminate the analysis, correct the </w:t>
            </w:r>
            <w:r w:rsidRPr="00985CA0">
              <w:rPr>
                <w:b/>
                <w:bCs/>
              </w:rPr>
              <w:lastRenderedPageBreak/>
              <w:t>problem, and the samples should be re-digested and re-analyzed for mercury.</w:t>
            </w:r>
          </w:p>
          <w:p w14:paraId="18D89E7E" w14:textId="77777777" w:rsidR="00C5436E" w:rsidRPr="00063828" w:rsidRDefault="00C5436E" w:rsidP="006B6A7E">
            <w:pPr>
              <w:rPr>
                <w:i/>
                <w:iCs/>
              </w:rPr>
            </w:pPr>
          </w:p>
          <w:p w14:paraId="494509DC" w14:textId="77777777" w:rsidR="00C5436E" w:rsidRPr="00063828" w:rsidRDefault="00C5436E" w:rsidP="006B6A7E">
            <w:pPr>
              <w:rPr>
                <w:i/>
                <w:iCs/>
              </w:rPr>
            </w:pPr>
            <w:r w:rsidRPr="00063828">
              <w:rPr>
                <w:i/>
                <w:iCs/>
              </w:rPr>
              <w:t>Action: If the LCS is outside of the control limit, qualify all positive results as estimated (“J+” or “J-”).</w:t>
            </w:r>
          </w:p>
          <w:p w14:paraId="78981EB3" w14:textId="77777777" w:rsidR="00C5436E" w:rsidRPr="00063828" w:rsidRDefault="00C5436E" w:rsidP="006B6A7E">
            <w:pPr>
              <w:rPr>
                <w:i/>
                <w:iCs/>
              </w:rPr>
            </w:pPr>
          </w:p>
          <w:p w14:paraId="7EDEBACD" w14:textId="77777777" w:rsidR="00C5436E" w:rsidRPr="00063828" w:rsidRDefault="00C5436E" w:rsidP="006B6A7E">
            <w:pPr>
              <w:rPr>
                <w:i/>
                <w:iCs/>
              </w:rPr>
            </w:pPr>
            <w:r w:rsidRPr="00063828">
              <w:rPr>
                <w:i/>
                <w:iCs/>
              </w:rPr>
              <w:t>If the LCS results are higher than control limits and the sample results are below the detection limit, the results are acceptable.</w:t>
            </w:r>
          </w:p>
          <w:p w14:paraId="41B13B64" w14:textId="77777777" w:rsidR="00C5436E" w:rsidRPr="00063828" w:rsidRDefault="00C5436E" w:rsidP="006B6A7E">
            <w:pPr>
              <w:rPr>
                <w:i/>
                <w:iCs/>
              </w:rPr>
            </w:pPr>
          </w:p>
          <w:p w14:paraId="47403AFA" w14:textId="77777777" w:rsidR="00C5436E" w:rsidRPr="00063828" w:rsidRDefault="00C5436E" w:rsidP="006B6A7E">
            <w:pPr>
              <w:rPr>
                <w:i/>
                <w:iCs/>
              </w:rPr>
            </w:pPr>
            <w:r w:rsidRPr="00063828">
              <w:rPr>
                <w:i/>
                <w:iCs/>
              </w:rPr>
              <w:t>If the LCS result is below the lower control limit, initially qualify all results below the detection limit as “UJ”.  Non-detected compounds may be qualified as rejected, “R” based upon professional judgment and the project’s DQOs.</w:t>
            </w:r>
          </w:p>
        </w:tc>
        <w:tc>
          <w:tcPr>
            <w:tcW w:w="4675" w:type="dxa"/>
          </w:tcPr>
          <w:p w14:paraId="062365E3" w14:textId="77777777" w:rsidR="00C5436E" w:rsidRPr="00582727" w:rsidRDefault="00C5436E" w:rsidP="006B6A7E">
            <w:pPr>
              <w:rPr>
                <w:b/>
                <w:bCs/>
              </w:rPr>
            </w:pPr>
            <w:r w:rsidRPr="00582727">
              <w:rPr>
                <w:b/>
                <w:bCs/>
              </w:rPr>
              <w:lastRenderedPageBreak/>
              <w:t>Indicate yes or no:</w:t>
            </w:r>
          </w:p>
          <w:p w14:paraId="17085982" w14:textId="77777777" w:rsidR="00C5436E" w:rsidRDefault="00C5436E" w:rsidP="006B6A7E"/>
          <w:p w14:paraId="365E91DD" w14:textId="77777777" w:rsidR="00C5436E" w:rsidRDefault="00C5436E" w:rsidP="006B6A7E">
            <w:r w:rsidRPr="00582727">
              <w:rPr>
                <w:b/>
                <w:bCs/>
              </w:rPr>
              <w:t>Summarize any actions taken:</w:t>
            </w:r>
          </w:p>
        </w:tc>
      </w:tr>
    </w:tbl>
    <w:p w14:paraId="10D22F4B" w14:textId="77AAE437" w:rsidR="00131F71" w:rsidRDefault="00131F71"/>
    <w:tbl>
      <w:tblPr>
        <w:tblStyle w:val="TableGrid"/>
        <w:tblW w:w="0" w:type="auto"/>
        <w:tblLook w:val="04A0" w:firstRow="1" w:lastRow="0" w:firstColumn="1" w:lastColumn="0" w:noHBand="0" w:noVBand="1"/>
      </w:tblPr>
      <w:tblGrid>
        <w:gridCol w:w="4675"/>
        <w:gridCol w:w="4675"/>
      </w:tblGrid>
      <w:tr w:rsidR="00EA36C0" w14:paraId="7E4AA7DA" w14:textId="77777777" w:rsidTr="00A03D6B">
        <w:tc>
          <w:tcPr>
            <w:tcW w:w="9350" w:type="dxa"/>
            <w:gridSpan w:val="2"/>
            <w:shd w:val="clear" w:color="auto" w:fill="D9D9D9" w:themeFill="background1" w:themeFillShade="D9"/>
          </w:tcPr>
          <w:p w14:paraId="7A49DA5A" w14:textId="2258FCFC" w:rsidR="00EA36C0" w:rsidRDefault="00EA36C0" w:rsidP="009E5814">
            <w:pPr>
              <w:rPr>
                <w:b/>
                <w:bCs/>
              </w:rPr>
            </w:pPr>
            <w:r>
              <w:rPr>
                <w:b/>
                <w:bCs/>
              </w:rPr>
              <w:t>7</w:t>
            </w:r>
            <w:r w:rsidRPr="00946508">
              <w:rPr>
                <w:b/>
                <w:bCs/>
              </w:rPr>
              <w:t>.</w:t>
            </w:r>
            <w:r>
              <w:rPr>
                <w:b/>
                <w:bCs/>
              </w:rPr>
              <w:t>3</w:t>
            </w:r>
            <w:r w:rsidRPr="00946508" w:rsidDel="008B4FC9">
              <w:rPr>
                <w:b/>
                <w:bCs/>
              </w:rPr>
              <w:t xml:space="preserve"> </w:t>
            </w:r>
            <w:r w:rsidRPr="00946508">
              <w:rPr>
                <w:b/>
                <w:bCs/>
              </w:rPr>
              <w:t xml:space="preserve">Mercury </w:t>
            </w:r>
            <w:r>
              <w:rPr>
                <w:b/>
                <w:bCs/>
              </w:rPr>
              <w:t>Data Review – Matrix Spike Recovery</w:t>
            </w:r>
          </w:p>
        </w:tc>
      </w:tr>
      <w:tr w:rsidR="00EA36C0" w14:paraId="150EDF2A" w14:textId="77777777" w:rsidTr="006B6A7E">
        <w:tc>
          <w:tcPr>
            <w:tcW w:w="4675" w:type="dxa"/>
            <w:shd w:val="clear" w:color="auto" w:fill="D9D9D9" w:themeFill="background1" w:themeFillShade="D9"/>
          </w:tcPr>
          <w:p w14:paraId="4FC64044" w14:textId="77777777" w:rsidR="00EA36C0" w:rsidRDefault="00EA36C0" w:rsidP="00EA36C0">
            <w:r>
              <w:t>7.3.1</w:t>
            </w:r>
            <w:r>
              <w:tab/>
              <w:t>Was a matrix spike analyzed at the required frequency (one pre-digestion spike for each group of samples with a similar matrix type or for each data package), and was each matrix spike within limits?</w:t>
            </w:r>
          </w:p>
          <w:p w14:paraId="039C61B3" w14:textId="77777777" w:rsidR="00EA36C0" w:rsidRDefault="00EA36C0" w:rsidP="00EA36C0"/>
          <w:p w14:paraId="215CC035" w14:textId="77777777" w:rsidR="00EA36C0" w:rsidRPr="00DC5713" w:rsidRDefault="00EA36C0" w:rsidP="00EA36C0">
            <w:pPr>
              <w:rPr>
                <w:b/>
                <w:bCs/>
              </w:rPr>
            </w:pPr>
            <w:r w:rsidRPr="00DC5713">
              <w:rPr>
                <w:b/>
                <w:bCs/>
              </w:rPr>
              <w:t>Note:  Post-digestion spikes are not required for Mercury.  However, one typically is run if the LCS was out of control to show matrix interference.</w:t>
            </w:r>
          </w:p>
          <w:p w14:paraId="7E468339" w14:textId="77777777" w:rsidR="00EA36C0" w:rsidRPr="00DC5713" w:rsidRDefault="00EA36C0" w:rsidP="00EA36C0">
            <w:pPr>
              <w:rPr>
                <w:b/>
                <w:bCs/>
              </w:rPr>
            </w:pPr>
          </w:p>
          <w:p w14:paraId="0D54EEE0" w14:textId="722516F8" w:rsidR="00EA36C0" w:rsidRDefault="00EA36C0" w:rsidP="00EA36C0">
            <w:r w:rsidRPr="002E3908">
              <w:rPr>
                <w:i/>
                <w:iCs/>
              </w:rPr>
              <w:t xml:space="preserve">Use the criteria in Table </w:t>
            </w:r>
            <w:r>
              <w:rPr>
                <w:i/>
                <w:iCs/>
              </w:rPr>
              <w:t>7</w:t>
            </w:r>
            <w:r w:rsidRPr="42E52DA8">
              <w:rPr>
                <w:i/>
                <w:iCs/>
              </w:rPr>
              <w:t>-</w:t>
            </w:r>
            <w:r>
              <w:rPr>
                <w:i/>
                <w:iCs/>
              </w:rPr>
              <w:t>2</w:t>
            </w:r>
            <w:r w:rsidRPr="42E52DA8">
              <w:rPr>
                <w:i/>
                <w:iCs/>
              </w:rPr>
              <w:t xml:space="preserve"> </w:t>
            </w:r>
            <w:r w:rsidRPr="002E3908">
              <w:rPr>
                <w:i/>
                <w:iCs/>
              </w:rPr>
              <w:t>below to determine whether the data needs to be qualified. If qualification is needed, take the necessary actions listed in table.</w:t>
            </w:r>
          </w:p>
        </w:tc>
        <w:tc>
          <w:tcPr>
            <w:tcW w:w="4675" w:type="dxa"/>
          </w:tcPr>
          <w:p w14:paraId="13EF0C47" w14:textId="77777777" w:rsidR="00EA36C0" w:rsidRPr="00582727" w:rsidRDefault="00EA36C0" w:rsidP="00EA36C0">
            <w:pPr>
              <w:rPr>
                <w:b/>
                <w:bCs/>
              </w:rPr>
            </w:pPr>
            <w:r w:rsidRPr="00582727">
              <w:rPr>
                <w:b/>
                <w:bCs/>
              </w:rPr>
              <w:t>Indicate yes or no:</w:t>
            </w:r>
          </w:p>
          <w:p w14:paraId="54B6ADB9" w14:textId="77777777" w:rsidR="00EA36C0" w:rsidRDefault="00EA36C0" w:rsidP="00EA36C0"/>
          <w:p w14:paraId="0E5CB16A" w14:textId="7F33794E" w:rsidR="00EA36C0" w:rsidRDefault="00EA36C0" w:rsidP="00EA36C0">
            <w:pPr>
              <w:rPr>
                <w:b/>
                <w:bCs/>
              </w:rPr>
            </w:pPr>
            <w:r w:rsidRPr="00582727">
              <w:rPr>
                <w:b/>
                <w:bCs/>
              </w:rPr>
              <w:t>Summarize any actions taken:</w:t>
            </w:r>
          </w:p>
        </w:tc>
      </w:tr>
      <w:tr w:rsidR="00EA36C0" w14:paraId="5BA6C9B7" w14:textId="77777777" w:rsidTr="006B6A7E">
        <w:tc>
          <w:tcPr>
            <w:tcW w:w="4675" w:type="dxa"/>
            <w:shd w:val="clear" w:color="auto" w:fill="D9D9D9" w:themeFill="background1" w:themeFillShade="D9"/>
          </w:tcPr>
          <w:p w14:paraId="042331D6" w14:textId="712ECD2A" w:rsidR="00EA36C0" w:rsidRDefault="00EA36C0" w:rsidP="00EA36C0">
            <w:r>
              <w:t>7.3.2      Documenting the effect of the matrix should include the analysis of at least one matrix spike/matrix spike duplicate (MS/MSD) pair for each batch of samples processed. A separate spike sample and a separate duplicate sample may be analyzed in lieu of the MS/MSD at the analyst’s discretion.</w:t>
            </w:r>
          </w:p>
          <w:p w14:paraId="553B8D6C" w14:textId="77777777" w:rsidR="00EA36C0" w:rsidRDefault="00EA36C0" w:rsidP="00EA36C0"/>
          <w:p w14:paraId="68AD484A" w14:textId="209EC6AF" w:rsidR="00EA36C0" w:rsidRPr="00022558" w:rsidRDefault="00EA36C0" w:rsidP="00EA36C0">
            <w:pPr>
              <w:rPr>
                <w:i/>
                <w:iCs/>
              </w:rPr>
            </w:pPr>
            <w:r w:rsidRPr="00022558">
              <w:rPr>
                <w:i/>
                <w:iCs/>
              </w:rPr>
              <w:t xml:space="preserve">Action: Verify that at least one </w:t>
            </w:r>
            <w:r w:rsidR="000B15F4">
              <w:rPr>
                <w:i/>
                <w:iCs/>
              </w:rPr>
              <w:t>MS/M</w:t>
            </w:r>
            <w:r w:rsidR="00595BDD">
              <w:rPr>
                <w:i/>
                <w:iCs/>
              </w:rPr>
              <w:t>S</w:t>
            </w:r>
            <w:r w:rsidR="000B15F4">
              <w:rPr>
                <w:i/>
                <w:iCs/>
              </w:rPr>
              <w:t>D pair or an MS</w:t>
            </w:r>
            <w:r w:rsidR="00DA588E">
              <w:rPr>
                <w:i/>
                <w:iCs/>
              </w:rPr>
              <w:t xml:space="preserve"> and a </w:t>
            </w:r>
            <w:r w:rsidRPr="00022558">
              <w:rPr>
                <w:i/>
                <w:iCs/>
              </w:rPr>
              <w:t xml:space="preserve">duplicate sample </w:t>
            </w:r>
            <w:r w:rsidR="00DA588E" w:rsidRPr="00022558">
              <w:rPr>
                <w:i/>
                <w:iCs/>
              </w:rPr>
              <w:t>w</w:t>
            </w:r>
            <w:r w:rsidR="00DA588E">
              <w:rPr>
                <w:i/>
                <w:iCs/>
              </w:rPr>
              <w:t>ere</w:t>
            </w:r>
            <w:r w:rsidR="00DA588E" w:rsidRPr="00022558">
              <w:rPr>
                <w:i/>
                <w:iCs/>
              </w:rPr>
              <w:t xml:space="preserve"> </w:t>
            </w:r>
            <w:r w:rsidRPr="00022558">
              <w:rPr>
                <w:i/>
                <w:iCs/>
              </w:rPr>
              <w:t>prepared and analyzed from each group of samples of a similar matrix type or for each data package.</w:t>
            </w:r>
          </w:p>
        </w:tc>
        <w:tc>
          <w:tcPr>
            <w:tcW w:w="4675" w:type="dxa"/>
          </w:tcPr>
          <w:p w14:paraId="5ABB39D7" w14:textId="77777777" w:rsidR="00EA36C0" w:rsidRPr="00582727" w:rsidRDefault="00EA36C0" w:rsidP="00EA36C0">
            <w:pPr>
              <w:rPr>
                <w:b/>
                <w:bCs/>
              </w:rPr>
            </w:pPr>
            <w:r>
              <w:rPr>
                <w:b/>
                <w:bCs/>
              </w:rPr>
              <w:t>Indicate if an MS/MSD pair, or a MS and a duplicate were analyzed:</w:t>
            </w:r>
          </w:p>
        </w:tc>
      </w:tr>
      <w:tr w:rsidR="00EA36C0" w14:paraId="6A472B69" w14:textId="77777777" w:rsidTr="006B6A7E">
        <w:tc>
          <w:tcPr>
            <w:tcW w:w="4675" w:type="dxa"/>
            <w:shd w:val="clear" w:color="auto" w:fill="D9D9D9" w:themeFill="background1" w:themeFillShade="D9"/>
          </w:tcPr>
          <w:p w14:paraId="28955ECD" w14:textId="29C5925C" w:rsidR="00EA36C0" w:rsidRPr="00614CCD" w:rsidRDefault="00EA36C0" w:rsidP="00EA36C0">
            <w:r>
              <w:lastRenderedPageBreak/>
              <w:t xml:space="preserve">7.3.3       </w:t>
            </w:r>
            <w:r w:rsidRPr="00614CCD">
              <w:t>Are all relative percent difference (RPD) values within control limits?</w:t>
            </w:r>
          </w:p>
          <w:p w14:paraId="0562B8D7" w14:textId="77777777" w:rsidR="00EA36C0" w:rsidRPr="00614CCD" w:rsidRDefault="00EA36C0" w:rsidP="00EA36C0"/>
          <w:p w14:paraId="3759C5D4" w14:textId="77777777" w:rsidR="00EA36C0" w:rsidRPr="00614CCD" w:rsidRDefault="00EA36C0" w:rsidP="00EA36C0">
            <w:pPr>
              <w:rPr>
                <w:b/>
                <w:bCs/>
              </w:rPr>
            </w:pPr>
            <w:r w:rsidRPr="00614CCD">
              <w:rPr>
                <w:b/>
                <w:bCs/>
              </w:rPr>
              <w:t>Note: Acceptance criteria for RPD should be a set of laboratory-derived limits; however, acceptance limits must not exceed 20%</w:t>
            </w:r>
            <w:r>
              <w:rPr>
                <w:b/>
                <w:bCs/>
              </w:rPr>
              <w:t>.</w:t>
            </w:r>
          </w:p>
          <w:p w14:paraId="0A0738ED" w14:textId="77777777" w:rsidR="00EA36C0" w:rsidRPr="00614CCD" w:rsidRDefault="00EA36C0" w:rsidP="00EA36C0">
            <w:pPr>
              <w:rPr>
                <w:b/>
                <w:bCs/>
              </w:rPr>
            </w:pPr>
          </w:p>
          <w:p w14:paraId="521F8695" w14:textId="77777777" w:rsidR="00EA36C0" w:rsidRDefault="00EA36C0" w:rsidP="00EA36C0">
            <w:r w:rsidRPr="00614CCD">
              <w:rPr>
                <w:i/>
                <w:iCs/>
              </w:rPr>
              <w:t xml:space="preserve">Action: Determine whether RPD values exceed laboratory-derived control limits. If control limits have not been developed, use </w:t>
            </w:r>
            <w:r w:rsidRPr="00614CCD">
              <w:t>≤</w:t>
            </w:r>
            <w:r w:rsidRPr="00614CCD">
              <w:rPr>
                <w:i/>
                <w:iCs/>
              </w:rPr>
              <w:t>20% as the acceptance criteria.</w:t>
            </w:r>
          </w:p>
        </w:tc>
        <w:tc>
          <w:tcPr>
            <w:tcW w:w="4675" w:type="dxa"/>
          </w:tcPr>
          <w:p w14:paraId="1E7ADB98" w14:textId="77777777" w:rsidR="00EA36C0" w:rsidRDefault="00EA36C0" w:rsidP="00EA36C0">
            <w:pPr>
              <w:rPr>
                <w:b/>
                <w:bCs/>
              </w:rPr>
            </w:pPr>
            <w:r>
              <w:rPr>
                <w:b/>
                <w:bCs/>
              </w:rPr>
              <w:t>Indicate yes or no:</w:t>
            </w:r>
          </w:p>
        </w:tc>
      </w:tr>
      <w:tr w:rsidR="00EA36C0" w14:paraId="4C9727D4" w14:textId="77777777" w:rsidTr="006B6A7E">
        <w:tc>
          <w:tcPr>
            <w:tcW w:w="4675" w:type="dxa"/>
            <w:shd w:val="clear" w:color="auto" w:fill="D9D9D9" w:themeFill="background1" w:themeFillShade="D9"/>
          </w:tcPr>
          <w:p w14:paraId="47594924" w14:textId="7E2A9D28" w:rsidR="00EA36C0" w:rsidRPr="006C500E" w:rsidRDefault="00EA36C0" w:rsidP="00EA36C0">
            <w:r>
              <w:t xml:space="preserve">7.3.4       </w:t>
            </w:r>
            <w:r w:rsidRPr="006C500E">
              <w:t>RPD is calculated to evaluate the spike values for precision using the following equation:</w:t>
            </w:r>
          </w:p>
          <w:p w14:paraId="4757B66E" w14:textId="77777777" w:rsidR="00EA36C0" w:rsidRPr="006C500E" w:rsidRDefault="00EA36C0" w:rsidP="00EA36C0"/>
          <w:p w14:paraId="0AFE7753" w14:textId="77777777" w:rsidR="00EA36C0" w:rsidRPr="006C500E" w:rsidRDefault="00EA36C0" w:rsidP="00EA36C0">
            <w:pPr>
              <w:rPr>
                <w:iCs/>
              </w:rPr>
            </w:pPr>
            <m:oMathPara>
              <m:oMath>
                <m:r>
                  <m:rPr>
                    <m:sty m:val="p"/>
                  </m:rPr>
                  <w:rPr>
                    <w:rFonts w:ascii="Cambria Math" w:hAnsi="Cambria Math"/>
                  </w:rPr>
                  <m:t>RPD=</m:t>
                </m:r>
                <m:f>
                  <m:fPr>
                    <m:ctrlPr>
                      <w:rPr>
                        <w:rFonts w:ascii="Cambria Math" w:hAnsi="Cambria Math"/>
                        <w:iCs/>
                      </w:rPr>
                    </m:ctrlPr>
                  </m:fPr>
                  <m:num>
                    <m:r>
                      <m:rPr>
                        <m:sty m:val="p"/>
                      </m:rPr>
                      <w:rPr>
                        <w:rFonts w:ascii="Cambria Math" w:hAnsi="Cambria Math"/>
                      </w:rPr>
                      <m:t>|S-D|</m:t>
                    </m:r>
                  </m:num>
                  <m:den>
                    <m:r>
                      <m:rPr>
                        <m:sty m:val="p"/>
                      </m:rPr>
                      <w:rPr>
                        <w:rFonts w:ascii="Cambria Math" w:hAnsi="Cambria Math"/>
                      </w:rPr>
                      <m:t>(</m:t>
                    </m:r>
                    <m:f>
                      <m:fPr>
                        <m:ctrlPr>
                          <w:rPr>
                            <w:rFonts w:ascii="Cambria Math" w:hAnsi="Cambria Math"/>
                            <w:iCs/>
                          </w:rPr>
                        </m:ctrlPr>
                      </m:fPr>
                      <m:num>
                        <m:r>
                          <m:rPr>
                            <m:sty m:val="p"/>
                          </m:rPr>
                          <w:rPr>
                            <w:rFonts w:ascii="Cambria Math" w:hAnsi="Cambria Math"/>
                          </w:rPr>
                          <m:t>S+ D</m:t>
                        </m:r>
                      </m:num>
                      <m:den>
                        <m:r>
                          <m:rPr>
                            <m:sty m:val="p"/>
                          </m:rPr>
                          <w:rPr>
                            <w:rFonts w:ascii="Cambria Math" w:hAnsi="Cambria Math"/>
                          </w:rPr>
                          <m:t>2</m:t>
                        </m:r>
                      </m:den>
                    </m:f>
                    <m:r>
                      <m:rPr>
                        <m:sty m:val="p"/>
                      </m:rPr>
                      <w:rPr>
                        <w:rFonts w:ascii="Cambria Math" w:hAnsi="Cambria Math"/>
                      </w:rPr>
                      <m:t>)</m:t>
                    </m:r>
                  </m:den>
                </m:f>
                <m:r>
                  <m:rPr>
                    <m:sty m:val="p"/>
                  </m:rPr>
                  <w:rPr>
                    <w:rFonts w:ascii="Cambria Math" w:hAnsi="Cambria Math"/>
                  </w:rPr>
                  <m:t xml:space="preserve"> x100</m:t>
                </m:r>
              </m:oMath>
            </m:oMathPara>
          </w:p>
          <w:p w14:paraId="5F346B11" w14:textId="77777777" w:rsidR="00EA36C0" w:rsidRPr="006C500E" w:rsidRDefault="00EA36C0" w:rsidP="00EA36C0">
            <w:r w:rsidRPr="006C500E">
              <w:t>Where:</w:t>
            </w:r>
          </w:p>
          <w:p w14:paraId="78FC42B0" w14:textId="77777777" w:rsidR="00EA36C0" w:rsidRPr="006C500E" w:rsidRDefault="00EA36C0" w:rsidP="00EA36C0">
            <w:r w:rsidRPr="006C500E">
              <w:t>S = Sample Result (original)</w:t>
            </w:r>
          </w:p>
          <w:p w14:paraId="00976023" w14:textId="77777777" w:rsidR="00EA36C0" w:rsidRPr="006C500E" w:rsidRDefault="00EA36C0" w:rsidP="00EA36C0">
            <w:r w:rsidRPr="006C500E">
              <w:t>D = Duplicate Result</w:t>
            </w:r>
          </w:p>
          <w:p w14:paraId="4A4FDE7B" w14:textId="77777777" w:rsidR="00EA36C0" w:rsidRPr="006C500E" w:rsidRDefault="00EA36C0" w:rsidP="00EA36C0"/>
          <w:p w14:paraId="7516DE43" w14:textId="77777777" w:rsidR="00EA36C0" w:rsidRPr="006C500E" w:rsidRDefault="00EA36C0" w:rsidP="00EA36C0">
            <w:r w:rsidRPr="006C500E">
              <w:t>When the sample or duplicate result is reported as a non-detect, use a value of zero (0) for calculating the RPD. This will always yield an RPD of 200%.</w:t>
            </w:r>
          </w:p>
          <w:p w14:paraId="0959A3E2" w14:textId="77777777" w:rsidR="00EA36C0" w:rsidRPr="006C500E" w:rsidRDefault="00EA36C0" w:rsidP="00EA36C0"/>
          <w:p w14:paraId="4EF0CC2C" w14:textId="77777777" w:rsidR="00EA36C0" w:rsidRDefault="00EA36C0" w:rsidP="00EA36C0">
            <w:r w:rsidRPr="006C500E">
              <w:rPr>
                <w:i/>
                <w:iCs/>
              </w:rPr>
              <w:t>Action: Verify an RPD calculation for one set of MS/MSD samples. Contact the facility or laboratory for an explanation if RPD was not calculated. If a satisfactory explanation is not available, use professional judgment to qualify sample results.</w:t>
            </w:r>
          </w:p>
        </w:tc>
        <w:tc>
          <w:tcPr>
            <w:tcW w:w="4675" w:type="dxa"/>
          </w:tcPr>
          <w:p w14:paraId="06D5A13C" w14:textId="77777777" w:rsidR="00EA36C0" w:rsidRDefault="00EA36C0" w:rsidP="00EA36C0">
            <w:pPr>
              <w:rPr>
                <w:b/>
                <w:bCs/>
              </w:rPr>
            </w:pPr>
            <w:r w:rsidRPr="002C2C9B">
              <w:rPr>
                <w:b/>
                <w:bCs/>
              </w:rPr>
              <w:t>Show results of</w:t>
            </w:r>
            <w:r>
              <w:rPr>
                <w:b/>
                <w:bCs/>
              </w:rPr>
              <w:t xml:space="preserve"> one</w:t>
            </w:r>
            <w:r w:rsidRPr="002C2C9B">
              <w:rPr>
                <w:b/>
                <w:bCs/>
              </w:rPr>
              <w:t xml:space="preserve"> verified</w:t>
            </w:r>
            <w:r>
              <w:rPr>
                <w:b/>
                <w:bCs/>
              </w:rPr>
              <w:t xml:space="preserve"> RPD</w:t>
            </w:r>
            <w:r w:rsidRPr="002C2C9B">
              <w:rPr>
                <w:b/>
                <w:bCs/>
              </w:rPr>
              <w:t xml:space="preserve"> calculation:</w:t>
            </w:r>
          </w:p>
        </w:tc>
      </w:tr>
    </w:tbl>
    <w:p w14:paraId="3D3C5F4E" w14:textId="77777777" w:rsidR="00C5436E" w:rsidRDefault="00C5436E" w:rsidP="00D571E9"/>
    <w:tbl>
      <w:tblPr>
        <w:tblStyle w:val="TableGrid"/>
        <w:tblW w:w="0" w:type="auto"/>
        <w:tblLook w:val="04A0" w:firstRow="1" w:lastRow="0" w:firstColumn="1" w:lastColumn="0" w:noHBand="0" w:noVBand="1"/>
      </w:tblPr>
      <w:tblGrid>
        <w:gridCol w:w="5766"/>
        <w:gridCol w:w="1886"/>
        <w:gridCol w:w="1698"/>
      </w:tblGrid>
      <w:tr w:rsidR="57461EA2" w14:paraId="5287D6F6" w14:textId="77777777" w:rsidTr="57461EA2">
        <w:trPr>
          <w:trHeight w:val="290"/>
        </w:trPr>
        <w:tc>
          <w:tcPr>
            <w:tcW w:w="9535" w:type="dxa"/>
            <w:gridSpan w:val="3"/>
            <w:shd w:val="clear" w:color="auto" w:fill="D9D9D9" w:themeFill="background1" w:themeFillShade="D9"/>
          </w:tcPr>
          <w:p w14:paraId="05F698E2" w14:textId="64F34828" w:rsidR="00131F71" w:rsidRDefault="00131F71" w:rsidP="57461EA2">
            <w:pPr>
              <w:jc w:val="center"/>
              <w:rPr>
                <w:b/>
                <w:bCs/>
              </w:rPr>
            </w:pPr>
            <w:r w:rsidRPr="57461EA2">
              <w:rPr>
                <w:b/>
                <w:bCs/>
              </w:rPr>
              <w:t xml:space="preserve">Table </w:t>
            </w:r>
            <w:r w:rsidR="00E33025" w:rsidRPr="57461EA2">
              <w:rPr>
                <w:b/>
                <w:bCs/>
              </w:rPr>
              <w:t>7</w:t>
            </w:r>
            <w:r w:rsidRPr="57461EA2">
              <w:rPr>
                <w:b/>
                <w:bCs/>
              </w:rPr>
              <w:t>-</w:t>
            </w:r>
            <w:r w:rsidR="0097509A" w:rsidRPr="57461EA2">
              <w:rPr>
                <w:b/>
                <w:bCs/>
              </w:rPr>
              <w:t>2</w:t>
            </w:r>
            <w:r w:rsidRPr="57461EA2">
              <w:rPr>
                <w:b/>
                <w:bCs/>
              </w:rPr>
              <w:t xml:space="preserve">: Matrix Spike Actions for Mercury </w:t>
            </w:r>
          </w:p>
        </w:tc>
      </w:tr>
      <w:tr w:rsidR="57461EA2" w14:paraId="10D1B9B5" w14:textId="77777777" w:rsidTr="57461EA2">
        <w:trPr>
          <w:trHeight w:val="290"/>
        </w:trPr>
        <w:tc>
          <w:tcPr>
            <w:tcW w:w="5920" w:type="dxa"/>
            <w:vMerge w:val="restart"/>
            <w:shd w:val="clear" w:color="auto" w:fill="D9D9D9" w:themeFill="background1" w:themeFillShade="D9"/>
          </w:tcPr>
          <w:p w14:paraId="3F8C463A" w14:textId="77777777" w:rsidR="00131F71" w:rsidRDefault="00131F71" w:rsidP="57461EA2">
            <w:pPr>
              <w:spacing w:after="160" w:line="259" w:lineRule="auto"/>
              <w:jc w:val="center"/>
              <w:rPr>
                <w:b/>
                <w:bCs/>
              </w:rPr>
            </w:pPr>
            <w:r w:rsidRPr="57461EA2">
              <w:rPr>
                <w:b/>
                <w:bCs/>
              </w:rPr>
              <w:t>Criteria</w:t>
            </w:r>
          </w:p>
        </w:tc>
        <w:tc>
          <w:tcPr>
            <w:tcW w:w="3615" w:type="dxa"/>
            <w:gridSpan w:val="2"/>
            <w:shd w:val="clear" w:color="auto" w:fill="D9D9D9" w:themeFill="background1" w:themeFillShade="D9"/>
          </w:tcPr>
          <w:p w14:paraId="62D6B6BE" w14:textId="77777777" w:rsidR="00131F71" w:rsidRDefault="00131F71" w:rsidP="57461EA2">
            <w:pPr>
              <w:spacing w:after="160" w:line="259" w:lineRule="auto"/>
              <w:jc w:val="center"/>
              <w:rPr>
                <w:b/>
                <w:bCs/>
              </w:rPr>
            </w:pPr>
            <w:r w:rsidRPr="57461EA2">
              <w:rPr>
                <w:b/>
                <w:bCs/>
              </w:rPr>
              <w:t>Action</w:t>
            </w:r>
          </w:p>
        </w:tc>
      </w:tr>
      <w:tr w:rsidR="57461EA2" w14:paraId="30FC04E7" w14:textId="77777777" w:rsidTr="57461EA2">
        <w:trPr>
          <w:trHeight w:val="290"/>
        </w:trPr>
        <w:tc>
          <w:tcPr>
            <w:tcW w:w="5920" w:type="dxa"/>
            <w:vMerge/>
          </w:tcPr>
          <w:p w14:paraId="31CD3E29" w14:textId="77777777" w:rsidR="00DF2B97" w:rsidRDefault="00DF2B97"/>
        </w:tc>
        <w:tc>
          <w:tcPr>
            <w:tcW w:w="1905" w:type="dxa"/>
            <w:shd w:val="clear" w:color="auto" w:fill="D9D9D9" w:themeFill="background1" w:themeFillShade="D9"/>
          </w:tcPr>
          <w:p w14:paraId="1BC3DC35" w14:textId="77777777" w:rsidR="00131F71" w:rsidRDefault="00131F71" w:rsidP="57461EA2">
            <w:pPr>
              <w:spacing w:after="160" w:line="259" w:lineRule="auto"/>
              <w:jc w:val="center"/>
              <w:rPr>
                <w:b/>
                <w:bCs/>
              </w:rPr>
            </w:pPr>
            <w:r w:rsidRPr="57461EA2">
              <w:rPr>
                <w:b/>
                <w:bCs/>
              </w:rPr>
              <w:t>Detect</w:t>
            </w:r>
          </w:p>
        </w:tc>
        <w:tc>
          <w:tcPr>
            <w:tcW w:w="1710" w:type="dxa"/>
            <w:shd w:val="clear" w:color="auto" w:fill="D9D9D9" w:themeFill="background1" w:themeFillShade="D9"/>
          </w:tcPr>
          <w:p w14:paraId="5A90FF2D" w14:textId="77777777" w:rsidR="00131F71" w:rsidRDefault="00131F71" w:rsidP="57461EA2">
            <w:pPr>
              <w:spacing w:after="160" w:line="259" w:lineRule="auto"/>
              <w:jc w:val="center"/>
              <w:rPr>
                <w:b/>
                <w:bCs/>
              </w:rPr>
            </w:pPr>
            <w:r w:rsidRPr="57461EA2">
              <w:rPr>
                <w:b/>
                <w:bCs/>
              </w:rPr>
              <w:t>Non-detect</w:t>
            </w:r>
          </w:p>
        </w:tc>
      </w:tr>
      <w:tr w:rsidR="57461EA2" w14:paraId="00A07D7B" w14:textId="77777777" w:rsidTr="57461EA2">
        <w:trPr>
          <w:trHeight w:val="290"/>
        </w:trPr>
        <w:tc>
          <w:tcPr>
            <w:tcW w:w="5920" w:type="dxa"/>
          </w:tcPr>
          <w:p w14:paraId="042D81E8" w14:textId="77777777" w:rsidR="00131F71" w:rsidRDefault="00131F71" w:rsidP="57461EA2">
            <w:pPr>
              <w:spacing w:after="160" w:line="259" w:lineRule="auto"/>
              <w:jc w:val="center"/>
            </w:pPr>
            <w:r>
              <w:t>Matrix Spike analysis not performed at the specified frequency</w:t>
            </w:r>
          </w:p>
        </w:tc>
        <w:tc>
          <w:tcPr>
            <w:tcW w:w="1905" w:type="dxa"/>
          </w:tcPr>
          <w:p w14:paraId="028A94F1" w14:textId="77777777" w:rsidR="00131F71" w:rsidRDefault="00131F71" w:rsidP="57461EA2">
            <w:pPr>
              <w:spacing w:after="160" w:line="259" w:lineRule="auto"/>
              <w:jc w:val="center"/>
            </w:pPr>
            <w:r>
              <w:t>J</w:t>
            </w:r>
          </w:p>
        </w:tc>
        <w:tc>
          <w:tcPr>
            <w:tcW w:w="1710" w:type="dxa"/>
          </w:tcPr>
          <w:p w14:paraId="49CA8B4F" w14:textId="77777777" w:rsidR="00131F71" w:rsidRDefault="00131F71" w:rsidP="57461EA2">
            <w:pPr>
              <w:spacing w:after="160" w:line="259" w:lineRule="auto"/>
              <w:jc w:val="center"/>
            </w:pPr>
            <w:r>
              <w:t>UJ</w:t>
            </w:r>
          </w:p>
        </w:tc>
      </w:tr>
      <w:tr w:rsidR="57461EA2" w14:paraId="63C5C51B" w14:textId="77777777" w:rsidTr="57461EA2">
        <w:trPr>
          <w:trHeight w:val="290"/>
        </w:trPr>
        <w:tc>
          <w:tcPr>
            <w:tcW w:w="5920" w:type="dxa"/>
          </w:tcPr>
          <w:p w14:paraId="30F89735" w14:textId="77777777" w:rsidR="00131F71" w:rsidRDefault="00131F71" w:rsidP="57461EA2">
            <w:pPr>
              <w:spacing w:after="160" w:line="259" w:lineRule="auto"/>
              <w:jc w:val="center"/>
            </w:pPr>
            <w:r>
              <w:t>Matrix Spike not prepared from field sample</w:t>
            </w:r>
          </w:p>
        </w:tc>
        <w:tc>
          <w:tcPr>
            <w:tcW w:w="1905" w:type="dxa"/>
          </w:tcPr>
          <w:p w14:paraId="7B8CA3B7" w14:textId="77777777" w:rsidR="00131F71" w:rsidRDefault="00131F71" w:rsidP="57461EA2">
            <w:pPr>
              <w:spacing w:after="160" w:line="259" w:lineRule="auto"/>
              <w:jc w:val="center"/>
            </w:pPr>
            <w:r>
              <w:t>J</w:t>
            </w:r>
          </w:p>
        </w:tc>
        <w:tc>
          <w:tcPr>
            <w:tcW w:w="1710" w:type="dxa"/>
          </w:tcPr>
          <w:p w14:paraId="722C36F1" w14:textId="77777777" w:rsidR="00131F71" w:rsidRDefault="00131F71" w:rsidP="57461EA2">
            <w:pPr>
              <w:spacing w:after="160" w:line="259" w:lineRule="auto"/>
              <w:jc w:val="center"/>
            </w:pPr>
            <w:r>
              <w:t>UJ</w:t>
            </w:r>
          </w:p>
        </w:tc>
      </w:tr>
      <w:tr w:rsidR="57461EA2" w14:paraId="79B8BB18" w14:textId="77777777" w:rsidTr="57461EA2">
        <w:trPr>
          <w:trHeight w:val="290"/>
        </w:trPr>
        <w:tc>
          <w:tcPr>
            <w:tcW w:w="5920" w:type="dxa"/>
          </w:tcPr>
          <w:p w14:paraId="35805669" w14:textId="77777777" w:rsidR="00131F71" w:rsidRDefault="00131F71" w:rsidP="57461EA2">
            <w:pPr>
              <w:spacing w:after="160" w:line="259" w:lineRule="auto"/>
              <w:jc w:val="center"/>
            </w:pPr>
            <w:r>
              <w:t>Matrix Spike %R &lt; 80%</w:t>
            </w:r>
          </w:p>
        </w:tc>
        <w:tc>
          <w:tcPr>
            <w:tcW w:w="1905" w:type="dxa"/>
          </w:tcPr>
          <w:p w14:paraId="2F7E3ABF" w14:textId="77777777" w:rsidR="00131F71" w:rsidRDefault="00131F71" w:rsidP="57461EA2">
            <w:pPr>
              <w:spacing w:after="160" w:line="259" w:lineRule="auto"/>
              <w:jc w:val="center"/>
            </w:pPr>
            <w:r>
              <w:t>J-</w:t>
            </w:r>
          </w:p>
        </w:tc>
        <w:tc>
          <w:tcPr>
            <w:tcW w:w="1710" w:type="dxa"/>
          </w:tcPr>
          <w:p w14:paraId="0BC9D114" w14:textId="77777777" w:rsidR="00131F71" w:rsidRDefault="00131F71" w:rsidP="57461EA2">
            <w:pPr>
              <w:spacing w:after="160" w:line="259" w:lineRule="auto"/>
              <w:jc w:val="center"/>
            </w:pPr>
            <w:r>
              <w:t>UJ</w:t>
            </w:r>
          </w:p>
        </w:tc>
      </w:tr>
      <w:tr w:rsidR="57461EA2" w14:paraId="04489F6A" w14:textId="77777777" w:rsidTr="57461EA2">
        <w:trPr>
          <w:trHeight w:val="290"/>
        </w:trPr>
        <w:tc>
          <w:tcPr>
            <w:tcW w:w="5920" w:type="dxa"/>
          </w:tcPr>
          <w:p w14:paraId="40B6199A" w14:textId="77777777" w:rsidR="00131F71" w:rsidRDefault="00131F71" w:rsidP="57461EA2">
            <w:pPr>
              <w:spacing w:after="160" w:line="259" w:lineRule="auto"/>
              <w:jc w:val="center"/>
            </w:pPr>
            <w:r>
              <w:t>Matrix Spike %R 80-120%</w:t>
            </w:r>
          </w:p>
        </w:tc>
        <w:tc>
          <w:tcPr>
            <w:tcW w:w="1905" w:type="dxa"/>
          </w:tcPr>
          <w:p w14:paraId="3A427ED6" w14:textId="77777777" w:rsidR="00131F71" w:rsidRDefault="00131F71" w:rsidP="57461EA2">
            <w:pPr>
              <w:spacing w:after="160" w:line="259" w:lineRule="auto"/>
              <w:jc w:val="center"/>
            </w:pPr>
            <w:r>
              <w:t>No qualification</w:t>
            </w:r>
          </w:p>
        </w:tc>
        <w:tc>
          <w:tcPr>
            <w:tcW w:w="1710" w:type="dxa"/>
          </w:tcPr>
          <w:p w14:paraId="0E22A503" w14:textId="77777777" w:rsidR="00131F71" w:rsidRDefault="00131F71" w:rsidP="57461EA2">
            <w:pPr>
              <w:spacing w:after="160" w:line="259" w:lineRule="auto"/>
              <w:jc w:val="center"/>
            </w:pPr>
            <w:r>
              <w:t>No qualification</w:t>
            </w:r>
          </w:p>
        </w:tc>
      </w:tr>
      <w:tr w:rsidR="57461EA2" w14:paraId="4DACF22F" w14:textId="77777777" w:rsidTr="57461EA2">
        <w:trPr>
          <w:trHeight w:val="290"/>
        </w:trPr>
        <w:tc>
          <w:tcPr>
            <w:tcW w:w="5920" w:type="dxa"/>
          </w:tcPr>
          <w:p w14:paraId="2C180F50" w14:textId="77777777" w:rsidR="00131F71" w:rsidRDefault="00131F71" w:rsidP="57461EA2">
            <w:pPr>
              <w:spacing w:after="160" w:line="259" w:lineRule="auto"/>
              <w:jc w:val="center"/>
            </w:pPr>
            <w:r>
              <w:t>Matrix Spike %R &gt; 120%</w:t>
            </w:r>
          </w:p>
        </w:tc>
        <w:tc>
          <w:tcPr>
            <w:tcW w:w="1905" w:type="dxa"/>
          </w:tcPr>
          <w:p w14:paraId="22FC2E53" w14:textId="77777777" w:rsidR="00131F71" w:rsidRDefault="00131F71" w:rsidP="57461EA2">
            <w:pPr>
              <w:spacing w:after="160" w:line="259" w:lineRule="auto"/>
              <w:jc w:val="center"/>
            </w:pPr>
            <w:r>
              <w:t>J+</w:t>
            </w:r>
          </w:p>
        </w:tc>
        <w:tc>
          <w:tcPr>
            <w:tcW w:w="1710" w:type="dxa"/>
          </w:tcPr>
          <w:p w14:paraId="4643ACB6" w14:textId="77777777" w:rsidR="00131F71" w:rsidRDefault="00131F71" w:rsidP="57461EA2">
            <w:pPr>
              <w:spacing w:after="160" w:line="259" w:lineRule="auto"/>
              <w:jc w:val="center"/>
            </w:pPr>
            <w:r>
              <w:t>No qualification</w:t>
            </w:r>
          </w:p>
        </w:tc>
      </w:tr>
    </w:tbl>
    <w:p w14:paraId="4D26CBC0" w14:textId="0BB5D9F0" w:rsidR="00C5436E" w:rsidRDefault="00C5436E" w:rsidP="00A96EDC"/>
    <w:sectPr w:rsidR="00C543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4FC8" w14:textId="77777777" w:rsidR="001E50C6" w:rsidRDefault="001E50C6" w:rsidP="009E5814">
      <w:pPr>
        <w:spacing w:after="0" w:line="240" w:lineRule="auto"/>
      </w:pPr>
      <w:r>
        <w:separator/>
      </w:r>
    </w:p>
  </w:endnote>
  <w:endnote w:type="continuationSeparator" w:id="0">
    <w:p w14:paraId="47761441" w14:textId="77777777" w:rsidR="001E50C6" w:rsidRDefault="001E50C6" w:rsidP="009E5814">
      <w:pPr>
        <w:spacing w:after="0" w:line="240" w:lineRule="auto"/>
      </w:pPr>
      <w:r>
        <w:continuationSeparator/>
      </w:r>
    </w:p>
  </w:endnote>
  <w:endnote w:type="continuationNotice" w:id="1">
    <w:p w14:paraId="00B568A3" w14:textId="77777777" w:rsidR="001E50C6" w:rsidRDefault="001E5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D34E" w14:textId="77777777" w:rsidR="007E7222" w:rsidRDefault="007E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D41D" w14:textId="77777777" w:rsidR="007E7222" w:rsidRDefault="007E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F143" w14:textId="77777777" w:rsidR="007E7222" w:rsidRDefault="007E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642C" w14:textId="77777777" w:rsidR="001E50C6" w:rsidRDefault="001E50C6" w:rsidP="009E5814">
      <w:pPr>
        <w:spacing w:after="0" w:line="240" w:lineRule="auto"/>
      </w:pPr>
      <w:r>
        <w:separator/>
      </w:r>
    </w:p>
  </w:footnote>
  <w:footnote w:type="continuationSeparator" w:id="0">
    <w:p w14:paraId="27B9CA6F" w14:textId="77777777" w:rsidR="001E50C6" w:rsidRDefault="001E50C6" w:rsidP="009E5814">
      <w:pPr>
        <w:spacing w:after="0" w:line="240" w:lineRule="auto"/>
      </w:pPr>
      <w:r>
        <w:continuationSeparator/>
      </w:r>
    </w:p>
  </w:footnote>
  <w:footnote w:type="continuationNotice" w:id="1">
    <w:p w14:paraId="660D649C" w14:textId="77777777" w:rsidR="001E50C6" w:rsidRDefault="001E5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645D" w14:textId="77777777" w:rsidR="007E7222" w:rsidRDefault="007E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rPr>
      <w:id w:val="-1958009387"/>
      <w:docPartObj>
        <w:docPartGallery w:val="Page Numbers (Top of Page)"/>
        <w:docPartUnique/>
      </w:docPartObj>
    </w:sdtPr>
    <w:sdtEndPr>
      <w:rPr>
        <w:b/>
        <w:bCs/>
        <w:noProof/>
        <w:color w:val="auto"/>
      </w:rPr>
    </w:sdtEndPr>
    <w:sdtContent>
      <w:p w14:paraId="2EF87B6C" w14:textId="44BED4A0" w:rsidR="009E5814" w:rsidRPr="00E33025" w:rsidRDefault="009E5814" w:rsidP="009E5814">
        <w:pPr>
          <w:pStyle w:val="Header"/>
          <w:pBdr>
            <w:bottom w:val="single" w:sz="4" w:space="1" w:color="D9D9D9" w:themeColor="background1" w:themeShade="D9"/>
          </w:pBdr>
          <w:rPr>
            <w:color w:val="7F7F7F" w:themeColor="background1" w:themeShade="7F"/>
          </w:rPr>
        </w:pPr>
        <w:r w:rsidRPr="00E33025">
          <w:rPr>
            <w:color w:val="7F7F7F" w:themeColor="background1" w:themeShade="7F"/>
          </w:rPr>
          <w:t>Tier I Checklist #</w:t>
        </w:r>
        <w:r w:rsidR="00E33025">
          <w:rPr>
            <w:color w:val="7F7F7F" w:themeColor="background1" w:themeShade="7F"/>
          </w:rPr>
          <w:t>7</w:t>
        </w:r>
      </w:p>
      <w:p w14:paraId="0DA3B095" w14:textId="793B2285" w:rsidR="009E5814" w:rsidRPr="00E33025" w:rsidRDefault="007E7222" w:rsidP="009E5814">
        <w:pPr>
          <w:pStyle w:val="Header"/>
          <w:pBdr>
            <w:bottom w:val="single" w:sz="4" w:space="1" w:color="D9D9D9" w:themeColor="background1" w:themeShade="D9"/>
          </w:pBdr>
          <w:rPr>
            <w:b/>
            <w:bCs/>
          </w:rPr>
        </w:pPr>
        <w:r>
          <w:rPr>
            <w:color w:val="7F7F7F" w:themeColor="background1" w:themeShade="7F"/>
          </w:rPr>
          <w:t>May 2023</w:t>
        </w:r>
        <w:r w:rsidR="009E5814" w:rsidRPr="00E33025">
          <w:rPr>
            <w:color w:val="7F7F7F" w:themeColor="background1" w:themeShade="7F"/>
          </w:rPr>
          <w:tab/>
        </w:r>
        <w:r w:rsidR="009E5814" w:rsidRPr="00E33025">
          <w:rPr>
            <w:color w:val="7F7F7F" w:themeColor="background1" w:themeShade="7F"/>
          </w:rPr>
          <w:tab/>
          <w:t>Page</w:t>
        </w:r>
        <w:r w:rsidR="009E5814" w:rsidRPr="00E33025">
          <w:t xml:space="preserve"> | </w:t>
        </w:r>
        <w:r w:rsidR="009E5814" w:rsidRPr="00E33025">
          <w:fldChar w:fldCharType="begin"/>
        </w:r>
        <w:r w:rsidR="009E5814" w:rsidRPr="00E33025">
          <w:instrText xml:space="preserve"> PAGE   \* MERGEFORMAT </w:instrText>
        </w:r>
        <w:r w:rsidR="009E5814" w:rsidRPr="00E33025">
          <w:fldChar w:fldCharType="separate"/>
        </w:r>
        <w:r w:rsidR="009E5814" w:rsidRPr="00E33025">
          <w:t>8</w:t>
        </w:r>
        <w:r w:rsidR="009E5814" w:rsidRPr="00E33025">
          <w:rPr>
            <w:b/>
            <w:bCs/>
            <w:noProof/>
          </w:rPr>
          <w:fldChar w:fldCharType="end"/>
        </w:r>
      </w:p>
    </w:sdtContent>
  </w:sdt>
  <w:p w14:paraId="0D5969A7" w14:textId="77777777" w:rsidR="009E5814" w:rsidRDefault="009E5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E31A" w14:textId="77777777" w:rsidR="007E7222" w:rsidRDefault="007E7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6E"/>
    <w:rsid w:val="00004C89"/>
    <w:rsid w:val="00006F80"/>
    <w:rsid w:val="00011341"/>
    <w:rsid w:val="000B15F4"/>
    <w:rsid w:val="000D6649"/>
    <w:rsid w:val="000F3E56"/>
    <w:rsid w:val="000F4982"/>
    <w:rsid w:val="001079CF"/>
    <w:rsid w:val="00131F71"/>
    <w:rsid w:val="001337D4"/>
    <w:rsid w:val="001B4DE3"/>
    <w:rsid w:val="001E1DF5"/>
    <w:rsid w:val="001E50C6"/>
    <w:rsid w:val="00213389"/>
    <w:rsid w:val="002172B5"/>
    <w:rsid w:val="002878AA"/>
    <w:rsid w:val="002E5AD4"/>
    <w:rsid w:val="003105A4"/>
    <w:rsid w:val="00313687"/>
    <w:rsid w:val="00334C5E"/>
    <w:rsid w:val="00350B45"/>
    <w:rsid w:val="003723B4"/>
    <w:rsid w:val="003E3073"/>
    <w:rsid w:val="003F1E7F"/>
    <w:rsid w:val="003F6DC2"/>
    <w:rsid w:val="0041588A"/>
    <w:rsid w:val="0043066F"/>
    <w:rsid w:val="004A54DB"/>
    <w:rsid w:val="004C2556"/>
    <w:rsid w:val="004D6CAA"/>
    <w:rsid w:val="00526A86"/>
    <w:rsid w:val="0053374D"/>
    <w:rsid w:val="0058659B"/>
    <w:rsid w:val="00595BDD"/>
    <w:rsid w:val="005B70D9"/>
    <w:rsid w:val="005F09EA"/>
    <w:rsid w:val="00636896"/>
    <w:rsid w:val="00641C0F"/>
    <w:rsid w:val="00684516"/>
    <w:rsid w:val="00685298"/>
    <w:rsid w:val="006B6A7E"/>
    <w:rsid w:val="006E2F34"/>
    <w:rsid w:val="007141A8"/>
    <w:rsid w:val="00736325"/>
    <w:rsid w:val="00787431"/>
    <w:rsid w:val="007E7222"/>
    <w:rsid w:val="0083039D"/>
    <w:rsid w:val="008767AB"/>
    <w:rsid w:val="008E220D"/>
    <w:rsid w:val="008E30A0"/>
    <w:rsid w:val="00912FEF"/>
    <w:rsid w:val="00924F41"/>
    <w:rsid w:val="00932568"/>
    <w:rsid w:val="0093580F"/>
    <w:rsid w:val="0094255D"/>
    <w:rsid w:val="0097509A"/>
    <w:rsid w:val="00985CA0"/>
    <w:rsid w:val="00994772"/>
    <w:rsid w:val="009B0BB8"/>
    <w:rsid w:val="009D229D"/>
    <w:rsid w:val="009E5814"/>
    <w:rsid w:val="00A03D6B"/>
    <w:rsid w:val="00A96EDC"/>
    <w:rsid w:val="00AB19D4"/>
    <w:rsid w:val="00B01748"/>
    <w:rsid w:val="00B252F7"/>
    <w:rsid w:val="00B27DC6"/>
    <w:rsid w:val="00B42221"/>
    <w:rsid w:val="00B704B6"/>
    <w:rsid w:val="00B80FB3"/>
    <w:rsid w:val="00BF7FC6"/>
    <w:rsid w:val="00C02524"/>
    <w:rsid w:val="00C21489"/>
    <w:rsid w:val="00C54095"/>
    <w:rsid w:val="00C5436E"/>
    <w:rsid w:val="00C65683"/>
    <w:rsid w:val="00C84047"/>
    <w:rsid w:val="00C84298"/>
    <w:rsid w:val="00C941CA"/>
    <w:rsid w:val="00C9781F"/>
    <w:rsid w:val="00CB763C"/>
    <w:rsid w:val="00D213F6"/>
    <w:rsid w:val="00D571E9"/>
    <w:rsid w:val="00DA588E"/>
    <w:rsid w:val="00DB07DC"/>
    <w:rsid w:val="00DB5F98"/>
    <w:rsid w:val="00DC68E3"/>
    <w:rsid w:val="00DD39F6"/>
    <w:rsid w:val="00DF2B97"/>
    <w:rsid w:val="00E12DDC"/>
    <w:rsid w:val="00E33025"/>
    <w:rsid w:val="00EA36C0"/>
    <w:rsid w:val="00EA4185"/>
    <w:rsid w:val="00EC37A5"/>
    <w:rsid w:val="00ED383C"/>
    <w:rsid w:val="00EE2BCC"/>
    <w:rsid w:val="00F12E1F"/>
    <w:rsid w:val="00F24A94"/>
    <w:rsid w:val="00FA6927"/>
    <w:rsid w:val="00FB48BB"/>
    <w:rsid w:val="00FE0A9A"/>
    <w:rsid w:val="00FF5779"/>
    <w:rsid w:val="191DA430"/>
    <w:rsid w:val="1A6417E3"/>
    <w:rsid w:val="2FAF7207"/>
    <w:rsid w:val="310F20D1"/>
    <w:rsid w:val="3BBE04A5"/>
    <w:rsid w:val="42E52DA8"/>
    <w:rsid w:val="4447008B"/>
    <w:rsid w:val="4686A37F"/>
    <w:rsid w:val="4B2C1B01"/>
    <w:rsid w:val="4F41B058"/>
    <w:rsid w:val="57461EA2"/>
    <w:rsid w:val="67AB4092"/>
    <w:rsid w:val="7A6E5AE8"/>
    <w:rsid w:val="7F752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DEF8"/>
  <w15:chartTrackingRefBased/>
  <w15:docId w15:val="{EE242FBE-7B6E-4D24-B634-B6B64600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814"/>
  </w:style>
  <w:style w:type="paragraph" w:styleId="Footer">
    <w:name w:val="footer"/>
    <w:basedOn w:val="Normal"/>
    <w:link w:val="FooterChar"/>
    <w:uiPriority w:val="99"/>
    <w:unhideWhenUsed/>
    <w:rsid w:val="009E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814"/>
  </w:style>
  <w:style w:type="paragraph" w:styleId="Revision">
    <w:name w:val="Revision"/>
    <w:hidden/>
    <w:uiPriority w:val="99"/>
    <w:semiHidden/>
    <w:rsid w:val="00787431"/>
    <w:pPr>
      <w:spacing w:after="0" w:line="240" w:lineRule="auto"/>
    </w:pPr>
  </w:style>
  <w:style w:type="paragraph" w:customStyle="1" w:styleId="paragraph">
    <w:name w:val="paragraph"/>
    <w:basedOn w:val="Normal"/>
    <w:rsid w:val="00787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87431"/>
  </w:style>
  <w:style w:type="character" w:customStyle="1" w:styleId="eop">
    <w:name w:val="eop"/>
    <w:basedOn w:val="DefaultParagraphFont"/>
    <w:rsid w:val="00787431"/>
  </w:style>
  <w:style w:type="character" w:styleId="CommentReference">
    <w:name w:val="annotation reference"/>
    <w:basedOn w:val="DefaultParagraphFont"/>
    <w:uiPriority w:val="99"/>
    <w:semiHidden/>
    <w:unhideWhenUsed/>
    <w:rsid w:val="00787431"/>
    <w:rPr>
      <w:sz w:val="16"/>
      <w:szCs w:val="16"/>
    </w:rPr>
  </w:style>
  <w:style w:type="paragraph" w:styleId="CommentText">
    <w:name w:val="annotation text"/>
    <w:basedOn w:val="Normal"/>
    <w:link w:val="CommentTextChar"/>
    <w:uiPriority w:val="99"/>
    <w:semiHidden/>
    <w:unhideWhenUsed/>
    <w:rsid w:val="00787431"/>
    <w:pPr>
      <w:spacing w:line="240" w:lineRule="auto"/>
    </w:pPr>
    <w:rPr>
      <w:sz w:val="20"/>
      <w:szCs w:val="20"/>
    </w:rPr>
  </w:style>
  <w:style w:type="character" w:customStyle="1" w:styleId="CommentTextChar">
    <w:name w:val="Comment Text Char"/>
    <w:basedOn w:val="DefaultParagraphFont"/>
    <w:link w:val="CommentText"/>
    <w:uiPriority w:val="99"/>
    <w:semiHidden/>
    <w:rsid w:val="00787431"/>
    <w:rPr>
      <w:sz w:val="20"/>
      <w:szCs w:val="20"/>
    </w:rPr>
  </w:style>
  <w:style w:type="paragraph" w:styleId="CommentSubject">
    <w:name w:val="annotation subject"/>
    <w:basedOn w:val="CommentText"/>
    <w:next w:val="CommentText"/>
    <w:link w:val="CommentSubjectChar"/>
    <w:uiPriority w:val="99"/>
    <w:semiHidden/>
    <w:unhideWhenUsed/>
    <w:rsid w:val="00787431"/>
    <w:rPr>
      <w:b/>
      <w:bCs/>
    </w:rPr>
  </w:style>
  <w:style w:type="character" w:customStyle="1" w:styleId="CommentSubjectChar">
    <w:name w:val="Comment Subject Char"/>
    <w:basedOn w:val="CommentTextChar"/>
    <w:link w:val="CommentSubject"/>
    <w:uiPriority w:val="99"/>
    <w:semiHidden/>
    <w:rsid w:val="007874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51479">
      <w:bodyDiv w:val="1"/>
      <w:marLeft w:val="0"/>
      <w:marRight w:val="0"/>
      <w:marTop w:val="0"/>
      <w:marBottom w:val="0"/>
      <w:divBdr>
        <w:top w:val="none" w:sz="0" w:space="0" w:color="auto"/>
        <w:left w:val="none" w:sz="0" w:space="0" w:color="auto"/>
        <w:bottom w:val="none" w:sz="0" w:space="0" w:color="auto"/>
        <w:right w:val="none" w:sz="0" w:space="0" w:color="auto"/>
      </w:divBdr>
      <w:divsChild>
        <w:div w:id="999113721">
          <w:marLeft w:val="0"/>
          <w:marRight w:val="0"/>
          <w:marTop w:val="0"/>
          <w:marBottom w:val="0"/>
          <w:divBdr>
            <w:top w:val="none" w:sz="0" w:space="0" w:color="auto"/>
            <w:left w:val="none" w:sz="0" w:space="0" w:color="auto"/>
            <w:bottom w:val="none" w:sz="0" w:space="0" w:color="auto"/>
            <w:right w:val="none" w:sz="0" w:space="0" w:color="auto"/>
          </w:divBdr>
        </w:div>
        <w:div w:id="1193962732">
          <w:marLeft w:val="0"/>
          <w:marRight w:val="0"/>
          <w:marTop w:val="0"/>
          <w:marBottom w:val="0"/>
          <w:divBdr>
            <w:top w:val="none" w:sz="0" w:space="0" w:color="auto"/>
            <w:left w:val="none" w:sz="0" w:space="0" w:color="auto"/>
            <w:bottom w:val="none" w:sz="0" w:space="0" w:color="auto"/>
            <w:right w:val="none" w:sz="0" w:space="0" w:color="auto"/>
          </w:divBdr>
        </w:div>
        <w:div w:id="1407143469">
          <w:marLeft w:val="0"/>
          <w:marRight w:val="0"/>
          <w:marTop w:val="0"/>
          <w:marBottom w:val="0"/>
          <w:divBdr>
            <w:top w:val="none" w:sz="0" w:space="0" w:color="auto"/>
            <w:left w:val="none" w:sz="0" w:space="0" w:color="auto"/>
            <w:bottom w:val="none" w:sz="0" w:space="0" w:color="auto"/>
            <w:right w:val="none" w:sz="0" w:space="0" w:color="auto"/>
          </w:divBdr>
        </w:div>
      </w:divsChild>
    </w:div>
    <w:div w:id="1523546663">
      <w:bodyDiv w:val="1"/>
      <w:marLeft w:val="0"/>
      <w:marRight w:val="0"/>
      <w:marTop w:val="0"/>
      <w:marBottom w:val="0"/>
      <w:divBdr>
        <w:top w:val="none" w:sz="0" w:space="0" w:color="auto"/>
        <w:left w:val="none" w:sz="0" w:space="0" w:color="auto"/>
        <w:bottom w:val="none" w:sz="0" w:space="0" w:color="auto"/>
        <w:right w:val="none" w:sz="0" w:space="0" w:color="auto"/>
      </w:divBdr>
    </w:div>
    <w:div w:id="16843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49CC91B703A408300195853313740" ma:contentTypeVersion="24" ma:contentTypeDescription="Create a new document." ma:contentTypeScope="" ma:versionID="ebc3b3dba7a8cd0a96d79cf1854f41d7">
  <xsd:schema xmlns:xsd="http://www.w3.org/2001/XMLSchema" xmlns:xs="http://www.w3.org/2001/XMLSchema" xmlns:p="http://schemas.microsoft.com/office/2006/metadata/properties" xmlns:ns2="252b6ee7-883f-47cc-9ef4-51084eb5a364" xmlns:ns3="0ac40943-4753-4f9b-a2b3-8b5d259efe3d" targetNamespace="http://schemas.microsoft.com/office/2006/metadata/properties" ma:root="true" ma:fieldsID="c1b80c48bff50f10d9a7b34ab256b019" ns2:_="" ns3:_="">
    <xsd:import namespace="252b6ee7-883f-47cc-9ef4-51084eb5a364"/>
    <xsd:import namespace="0ac40943-4753-4f9b-a2b3-8b5d259efe3d"/>
    <xsd:element name="properties">
      <xsd:complexType>
        <xsd:sequence>
          <xsd:element name="documentManagement">
            <xsd:complexType>
              <xsd:all>
                <xsd:element ref="ns2:Main_x0020_Folder" minOccurs="0"/>
                <xsd:element ref="ns2:Sub_x002d_Folder" minOccurs="0"/>
                <xsd:element ref="ns2:_x0032_nd_x0020_Level_x0020_Sub_x002d_Folder" minOccurs="0"/>
                <xsd:element ref="ns2:Category" minOccurs="0"/>
                <xsd:element ref="ns3:SharedWithUsers" minOccurs="0"/>
                <xsd:element ref="ns3:SharedWithDetails" minOccurs="0"/>
                <xsd:element ref="ns2:MediaServiceMetadata" minOccurs="0"/>
                <xsd:element ref="ns2:MediaServiceFastMetadata"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b6ee7-883f-47cc-9ef4-51084eb5a364" elementFormDefault="qualified">
    <xsd:import namespace="http://schemas.microsoft.com/office/2006/documentManagement/types"/>
    <xsd:import namespace="http://schemas.microsoft.com/office/infopath/2007/PartnerControls"/>
    <xsd:element name="Main_x0020_Folder" ma:index="8" nillable="true" ma:displayName="Main Folder" ma:format="Dropdown" ma:internalName="Main_x0020_Folder" ma:readOnly="false">
      <xsd:simpleType>
        <xsd:restriction base="dms:Choice">
          <xsd:enumeration value="Closure Boilerplate Letters"/>
          <xsd:enumeration value="Closure Plan Review Forms"/>
          <xsd:enumeration value="Compliance Monitoring Strategy for Post-Closure Facilities"/>
          <xsd:enumeration value="Corrective Action Resources"/>
          <xsd:enumeration value="Data Validation Guidance"/>
          <xsd:enumeration value="ERAS Work Request Form"/>
          <xsd:enumeration value="Vactrose Zone Model Guidance"/>
          <xsd:enumeration value="CPRG Review"/>
          <xsd:enumeration value="CASS FORM (ver.2) and Model Permit"/>
          <xsd:enumeration value="VI Resources"/>
          <xsd:enumeration value="VI Sampling"/>
        </xsd:restriction>
      </xsd:simpleType>
    </xsd:element>
    <xsd:element name="Sub_x002d_Folder" ma:index="9" nillable="true" ma:displayName="Sub-Folder" ma:format="Dropdown" ma:internalName="Sub_x002d_Folder" ma:readOnly="false">
      <xsd:simpleType>
        <xsd:restriction base="dms:Choice">
          <xsd:enumeration value="CO-Closure Plan NODs"/>
          <xsd:enumeration value="Director's Signature-CP Approvals-Amendments-Extensions-"/>
          <xsd:enumeration value="DO-NODs, Minor Mod Approvals, Certification Accptance-NOD"/>
          <xsd:enumeration value="CORRECTIVE ACTION BOILERPLATES"/>
          <xsd:enumeration value="Decision Documents"/>
          <xsd:enumeration value="EPA RFI Guidance May 1989"/>
          <xsd:enumeration value="Statement of Basis"/>
          <xsd:enumeration value="USEPA STRATEGIC PLAN DEVELOPMENT"/>
          <xsd:enumeration value="Data Validation Resources"/>
          <xsd:enumeration value="Module E Draft Permit Examples"/>
          <xsd:enumeration value="CPRG 2017"/>
        </xsd:restriction>
      </xsd:simpleType>
    </xsd:element>
    <xsd:element name="_x0032_nd_x0020_Level_x0020_Sub_x002d_Folder" ma:index="10" nillable="true" ma:displayName="2nd Level Sub-Folder" ma:format="Dropdown" ma:internalName="_x0032_nd_x0020_Level_x0020_Sub_x002d_Folder" ma:readOnly="false">
      <xsd:simpleType>
        <xsd:restriction base="dms:Choice">
          <xsd:enumeration value="REILLY Word D. Documents"/>
        </xsd:restriction>
      </xsd:simpleType>
    </xsd:element>
    <xsd:element name="Category" ma:index="11" nillable="true" ma:displayName="Category" ma:format="Dropdown" ma:internalName="Category" ma:readOnly="false">
      <xsd:simpleType>
        <xsd:restriction base="dms:Choice">
          <xsd:enumeration value="Closure Guidance"/>
          <xsd:enumeration value="CA Guidance"/>
          <xsd:enumeration value="ERAS Guidance"/>
          <xsd:enumeration value="Risk Guidance"/>
          <xsd:enumeration value="CPRG Review Guidance"/>
          <xsd:enumeration value="Vadose Zone Model Guidanc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order0" ma:index="16" nillable="true" ma:displayName="order" ma:internalName="order0">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40943-4753-4f9b-a2b3-8b5d259ef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252b6ee7-883f-47cc-9ef4-51084eb5a364" xsi:nil="true"/>
    <Category xmlns="252b6ee7-883f-47cc-9ef4-51084eb5a364" xsi:nil="true"/>
    <_x0032_nd_x0020_Level_x0020_Sub_x002d_Folder xmlns="252b6ee7-883f-47cc-9ef4-51084eb5a364" xsi:nil="true"/>
    <Main_x0020_Folder xmlns="252b6ee7-883f-47cc-9ef4-51084eb5a364" xsi:nil="true"/>
    <Sub_x002d_Folder xmlns="252b6ee7-883f-47cc-9ef4-51084eb5a364"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78C862C1-0A6D-4E53-8324-28A838223D19}"/>
</file>

<file path=customXml/itemProps2.xml><?xml version="1.0" encoding="utf-8"?>
<ds:datastoreItem xmlns:ds="http://schemas.openxmlformats.org/officeDocument/2006/customXml" ds:itemID="{48563308-07FA-452C-9C6E-9C0A6E46586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883ee8f0-d5c8-4292-a56e-e30967e0df44"/>
    <ds:schemaRef ds:uri="http://purl.org/dc/dcmitype/"/>
    <ds:schemaRef ds:uri="http://schemas.microsoft.com/office/infopath/2007/PartnerControls"/>
    <ds:schemaRef ds:uri="3e340436-701e-4bf6-a2cd-8975eeda02ba"/>
    <ds:schemaRef ds:uri="http://www.w3.org/XML/1998/namespace"/>
  </ds:schemaRefs>
</ds:datastoreItem>
</file>

<file path=customXml/itemProps3.xml><?xml version="1.0" encoding="utf-8"?>
<ds:datastoreItem xmlns:ds="http://schemas.openxmlformats.org/officeDocument/2006/customXml" ds:itemID="{AE1DCD24-8C9A-4388-A9A9-5C7B46995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Sarah</dc:creator>
  <cp:keywords/>
  <dc:description/>
  <cp:lastModifiedBy>Beal, Sarah</cp:lastModifiedBy>
  <cp:revision>35</cp:revision>
  <dcterms:created xsi:type="dcterms:W3CDTF">2022-08-02T18:28:00Z</dcterms:created>
  <dcterms:modified xsi:type="dcterms:W3CDTF">2023-05-30T15:14:00Z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0x01010093149CC91B703A408300195853313740</vt:lpwstr>
  </property>
</Properties>
</file>