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E2B5" w14:textId="5EAE0D9F" w:rsidR="00753F0F" w:rsidRDefault="00673E34" w:rsidP="001C6680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FFFFFF"/>
          <w:sz w:val="48"/>
          <w:szCs w:val="48"/>
        </w:rPr>
      </w:pPr>
      <w:r>
        <w:rPr>
          <w:rFonts w:ascii="SerifaStd-Bold" w:hAnsi="SerifaStd-Bold" w:cs="SerifaStd-Bold"/>
          <w:b/>
          <w:bCs/>
          <w:noProof/>
          <w:color w:val="FFFFFF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3591E2A1" wp14:editId="32FACA02">
            <wp:simplePos x="0" y="0"/>
            <wp:positionH relativeFrom="margin">
              <wp:align>left</wp:align>
            </wp:positionH>
            <wp:positionV relativeFrom="paragraph">
              <wp:posOffset>-64770</wp:posOffset>
            </wp:positionV>
            <wp:extent cx="1655885" cy="10763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88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36F">
        <w:rPr>
          <w:rFonts w:ascii="SourceSansPro-SemiBoldItalic" w:hAnsi="SourceSansPro-SemiBoldItalic" w:cs="SourceSansPro-SemiBoldItalic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25BF82F" wp14:editId="564D8625">
            <wp:simplePos x="0" y="0"/>
            <wp:positionH relativeFrom="margin">
              <wp:posOffset>5179965</wp:posOffset>
            </wp:positionH>
            <wp:positionV relativeFrom="paragraph">
              <wp:posOffset>-144780</wp:posOffset>
            </wp:positionV>
            <wp:extent cx="1489170" cy="3733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7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36F">
        <w:rPr>
          <w:rFonts w:ascii="SerifaStd-Bold" w:hAnsi="SerifaStd-Bold" w:cs="SerifaStd-Bold"/>
          <w:b/>
          <w:bCs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C937" wp14:editId="1563DBFA">
                <wp:simplePos x="0" y="0"/>
                <wp:positionH relativeFrom="column">
                  <wp:posOffset>-1600200</wp:posOffset>
                </wp:positionH>
                <wp:positionV relativeFrom="paragraph">
                  <wp:posOffset>381000</wp:posOffset>
                </wp:positionV>
                <wp:extent cx="9281160" cy="304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1160" cy="304800"/>
                        </a:xfrm>
                        <a:prstGeom prst="rect">
                          <a:avLst/>
                        </a:prstGeom>
                        <a:solidFill>
                          <a:srgbClr val="391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F68B9F" id="Rectangle 2" o:spid="_x0000_s1026" style="position:absolute;margin-left:-126pt;margin-top:30pt;width:730.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" fillcolor="#391050" stroked="f" strokeweight="1pt"/>
            </w:pict>
          </mc:Fallback>
        </mc:AlternateContent>
      </w:r>
      <w:r w:rsidR="00BD136F">
        <w:rPr>
          <w:rFonts w:ascii="SerifaStd-Bold" w:hAnsi="SerifaStd-Bold" w:cs="SerifaStd-Bold"/>
          <w:b/>
          <w:bCs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EB21C" wp14:editId="411E32C4">
                <wp:simplePos x="0" y="0"/>
                <wp:positionH relativeFrom="page">
                  <wp:align>right</wp:align>
                </wp:positionH>
                <wp:positionV relativeFrom="paragraph">
                  <wp:posOffset>365760</wp:posOffset>
                </wp:positionV>
                <wp:extent cx="7772400" cy="3962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9BF94" w14:textId="14E5FE12" w:rsidR="00C652C8" w:rsidRPr="00F20D80" w:rsidRDefault="00C652C8" w:rsidP="00F20D8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20D8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EB2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0.8pt;margin-top:28.8pt;width:612pt;height:31.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" filled="f" stroked="f" strokeweight=".5pt">
                <v:textbox>
                  <w:txbxContent>
                    <w:p w14:paraId="00A9BF94" w14:textId="14E5FE12" w:rsidR="00C652C8" w:rsidRPr="00F20D80" w:rsidRDefault="00C652C8" w:rsidP="00F20D80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20D8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3F0F">
        <w:rPr>
          <w:rFonts w:ascii="SerifaStd-Bold" w:hAnsi="SerifaStd-Bold" w:cs="SerifaStd-Bold"/>
          <w:b/>
          <w:bCs/>
          <w:noProof/>
          <w:color w:val="FFFFFF"/>
          <w:sz w:val="48"/>
          <w:szCs w:val="48"/>
        </w:rPr>
        <w:t xml:space="preserve"> </w:t>
      </w:r>
    </w:p>
    <w:p w14:paraId="5643DC46" w14:textId="572EE41E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FFFFFF"/>
          <w:sz w:val="48"/>
          <w:szCs w:val="48"/>
        </w:rPr>
      </w:pPr>
      <w:r>
        <w:rPr>
          <w:rFonts w:ascii="SerifaStd-Bold" w:hAnsi="SerifaStd-Bold" w:cs="SerifaStd-Bold"/>
          <w:b/>
          <w:bCs/>
          <w:color w:val="FFFFFF"/>
          <w:sz w:val="48"/>
          <w:szCs w:val="48"/>
        </w:rPr>
        <w:t>Application</w:t>
      </w:r>
    </w:p>
    <w:p w14:paraId="2AA4CD9B" w14:textId="71880CEE" w:rsidR="00753F0F" w:rsidRDefault="00753F0F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24"/>
          <w:szCs w:val="24"/>
        </w:rPr>
      </w:pPr>
    </w:p>
    <w:p w14:paraId="67B66C95" w14:textId="27386BBE" w:rsidR="00753F0F" w:rsidRDefault="00753F0F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24"/>
          <w:szCs w:val="24"/>
        </w:rPr>
      </w:pPr>
    </w:p>
    <w:p w14:paraId="262EBE27" w14:textId="28E0BB7B" w:rsidR="00F12CD8" w:rsidRDefault="00C418B4" w:rsidP="001C6680">
      <w:pPr>
        <w:autoSpaceDE w:val="0"/>
        <w:autoSpaceDN w:val="0"/>
        <w:adjustRightInd w:val="0"/>
        <w:spacing w:after="0" w:line="240" w:lineRule="auto"/>
        <w:rPr>
          <w:rFonts w:ascii="SourceSansPro-SemiBoldItalic" w:hAnsi="SourceSansPro-SemiBoldItalic" w:cs="SourceSansPro-SemiBoldItalic"/>
          <w:b/>
          <w:bCs/>
          <w:i/>
          <w:iCs/>
          <w:color w:val="000000"/>
          <w:sz w:val="24"/>
          <w:szCs w:val="24"/>
        </w:rPr>
      </w:pPr>
      <w:r>
        <w:rPr>
          <w:rFonts w:ascii="SourceSansPro-Italic" w:hAnsi="SourceSansPro-Italic" w:cs="SourceSansPro-Italic"/>
          <w:i/>
          <w:iCs/>
          <w:color w:val="000000"/>
          <w:sz w:val="24"/>
          <w:szCs w:val="24"/>
        </w:rPr>
        <w:t>A</w:t>
      </w:r>
      <w:r w:rsidR="001C6680">
        <w:rPr>
          <w:rFonts w:ascii="SourceSansPro-Italic" w:hAnsi="SourceSansPro-Italic" w:cs="SourceSansPro-Italic"/>
          <w:i/>
          <w:iCs/>
          <w:color w:val="000000"/>
          <w:sz w:val="24"/>
          <w:szCs w:val="24"/>
        </w:rPr>
        <w:t xml:space="preserve">pplications due </w:t>
      </w:r>
      <w:r w:rsidR="000D11A7">
        <w:rPr>
          <w:rFonts w:ascii="SourceSansPro-Italic" w:hAnsi="SourceSansPro-Italic" w:cs="SourceSansPro-Italic"/>
          <w:b/>
          <w:bCs/>
          <w:i/>
          <w:iCs/>
          <w:color w:val="000000"/>
          <w:sz w:val="24"/>
          <w:szCs w:val="24"/>
        </w:rPr>
        <w:t>April</w:t>
      </w:r>
      <w:r w:rsidR="00F12CD8" w:rsidRPr="00F12CD8">
        <w:rPr>
          <w:rFonts w:ascii="SourceSansPro-SemiBoldItalic" w:hAnsi="SourceSansPro-SemiBoldItalic" w:cs="SourceSansPro-SemiBoldItalic"/>
          <w:b/>
          <w:bCs/>
          <w:i/>
          <w:iCs/>
          <w:color w:val="000000"/>
          <w:sz w:val="24"/>
          <w:szCs w:val="24"/>
        </w:rPr>
        <w:t xml:space="preserve"> </w:t>
      </w:r>
      <w:r w:rsidR="000D11A7">
        <w:rPr>
          <w:rFonts w:ascii="SourceSansPro-SemiBoldItalic" w:hAnsi="SourceSansPro-SemiBoldItalic" w:cs="SourceSansPro-SemiBoldItalic"/>
          <w:b/>
          <w:bCs/>
          <w:i/>
          <w:iCs/>
          <w:color w:val="000000"/>
          <w:sz w:val="24"/>
          <w:szCs w:val="24"/>
        </w:rPr>
        <w:t>21st</w:t>
      </w:r>
      <w:r w:rsidR="00F12CD8" w:rsidRPr="00F12CD8">
        <w:rPr>
          <w:rFonts w:ascii="SourceSansPro-SemiBoldItalic" w:hAnsi="SourceSansPro-SemiBoldItalic" w:cs="SourceSansPro-SemiBoldItalic"/>
          <w:b/>
          <w:bCs/>
          <w:i/>
          <w:iCs/>
          <w:color w:val="000000"/>
          <w:sz w:val="24"/>
          <w:szCs w:val="24"/>
        </w:rPr>
        <w:t>, 202</w:t>
      </w:r>
      <w:r w:rsidR="000D11A7">
        <w:rPr>
          <w:rFonts w:ascii="SourceSansPro-SemiBoldItalic" w:hAnsi="SourceSansPro-SemiBoldItalic" w:cs="SourceSansPro-SemiBoldItalic"/>
          <w:b/>
          <w:bCs/>
          <w:i/>
          <w:iCs/>
          <w:color w:val="000000"/>
          <w:sz w:val="24"/>
          <w:szCs w:val="24"/>
        </w:rPr>
        <w:t>5</w:t>
      </w:r>
      <w:r w:rsidR="00F12CD8" w:rsidRPr="00F12CD8">
        <w:rPr>
          <w:rFonts w:ascii="SourceSansPro-SemiBoldItalic" w:hAnsi="SourceSansPro-SemiBoldItalic" w:cs="SourceSansPro-SemiBoldItalic"/>
          <w:b/>
          <w:bCs/>
          <w:i/>
          <w:iCs/>
          <w:color w:val="000000"/>
          <w:sz w:val="24"/>
          <w:szCs w:val="24"/>
        </w:rPr>
        <w:t xml:space="preserve"> </w:t>
      </w:r>
    </w:p>
    <w:p w14:paraId="654C297A" w14:textId="7A5B934C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  <w:r>
        <w:rPr>
          <w:rFonts w:ascii="SourceSansPro-Regular" w:hAnsi="SourceSansPro-Regular" w:cs="SourceSansPro-Regular"/>
          <w:color w:val="000000"/>
          <w:sz w:val="24"/>
          <w:szCs w:val="24"/>
        </w:rPr>
        <w:t xml:space="preserve">Below are the criteria necessary to be considered for the Collegiate Purple Star designation. After each item, please include a succinct statement that explains how your institution meets that criterion. When applicable, please include any web links that can also verify your statements. If you have any questions, please </w:t>
      </w:r>
      <w:proofErr w:type="gramStart"/>
      <w:r>
        <w:rPr>
          <w:rFonts w:ascii="SourceSansPro-Regular" w:hAnsi="SourceSansPro-Regular" w:cs="SourceSansPro-Regular"/>
          <w:color w:val="000000"/>
          <w:sz w:val="24"/>
          <w:szCs w:val="24"/>
        </w:rPr>
        <w:t>contact</w:t>
      </w:r>
      <w:proofErr w:type="gramEnd"/>
    </w:p>
    <w:p w14:paraId="35E01672" w14:textId="6FE533A4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  <w:hyperlink r:id="rId7" w:history="1">
        <w:r w:rsidRPr="00EE72B6">
          <w:rPr>
            <w:rStyle w:val="Hyperlink"/>
            <w:rFonts w:ascii="SourceSansPro-Regular" w:hAnsi="SourceSansPro-Regular" w:cs="SourceSansPro-Regular"/>
            <w:sz w:val="24"/>
            <w:szCs w:val="24"/>
          </w:rPr>
          <w:t>CollegiatePurpleStar@highered.ohio.gov</w:t>
        </w:r>
      </w:hyperlink>
      <w:r>
        <w:rPr>
          <w:rFonts w:ascii="SourceSansPro-Regular" w:hAnsi="SourceSansPro-Regular" w:cs="SourceSansPro-Regular"/>
          <w:color w:val="000000"/>
          <w:sz w:val="24"/>
          <w:szCs w:val="24"/>
        </w:rPr>
        <w:t>.</w:t>
      </w:r>
    </w:p>
    <w:p w14:paraId="5ACE35B3" w14:textId="77777777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</w:p>
    <w:p w14:paraId="70C9E72E" w14:textId="5A474004" w:rsidR="001C6680" w:rsidRDefault="001C6680" w:rsidP="001C6680">
      <w:pPr>
        <w:autoSpaceDE w:val="0"/>
        <w:autoSpaceDN w:val="0"/>
        <w:adjustRightInd w:val="0"/>
        <w:spacing w:after="0" w:line="240" w:lineRule="auto"/>
        <w:jc w:val="center"/>
        <w:rPr>
          <w:rFonts w:ascii="SerifaStd-Bold" w:hAnsi="SerifaStd-Bold" w:cs="SerifaStd-Bold"/>
          <w:b/>
          <w:bCs/>
          <w:color w:val="42225E"/>
          <w:sz w:val="28"/>
          <w:szCs w:val="28"/>
        </w:rPr>
      </w:pPr>
      <w:r>
        <w:rPr>
          <w:rFonts w:ascii="SerifaStd-Bold" w:hAnsi="SerifaStd-Bold" w:cs="SerifaStd-Bold"/>
          <w:b/>
          <w:bCs/>
          <w:color w:val="42225E"/>
          <w:sz w:val="28"/>
          <w:szCs w:val="28"/>
        </w:rPr>
        <w:t>Criteria</w:t>
      </w:r>
    </w:p>
    <w:p w14:paraId="7A6FCBCA" w14:textId="77777777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42225E"/>
          <w:sz w:val="28"/>
          <w:szCs w:val="28"/>
        </w:rPr>
      </w:pPr>
    </w:p>
    <w:p w14:paraId="58EA2551" w14:textId="067A187C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  <w:r>
        <w:rPr>
          <w:rFonts w:ascii="SourceSansPro-Regular" w:hAnsi="SourceSansPro-Regular" w:cs="SourceSansPro-Regular"/>
          <w:color w:val="000000"/>
          <w:sz w:val="24"/>
          <w:szCs w:val="24"/>
        </w:rPr>
        <w:t>As referenced in the criteria below, service members, veterans, their spouses, and dependents are all part of</w:t>
      </w:r>
      <w:r w:rsidR="00BB0342">
        <w:rPr>
          <w:rFonts w:ascii="SourceSansPro-Regular" w:hAnsi="SourceSansPro-Regular" w:cs="SourceSansPro-Regular"/>
          <w:color w:val="000000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000000"/>
          <w:sz w:val="24"/>
          <w:szCs w:val="24"/>
        </w:rPr>
        <w:t>the military-connected student population. The following criteria are minimally required for an institution to</w:t>
      </w:r>
      <w:r w:rsidR="00BB0342">
        <w:rPr>
          <w:rFonts w:ascii="SourceSansPro-Regular" w:hAnsi="SourceSansPro-Regular" w:cs="SourceSansPro-Regular"/>
          <w:color w:val="000000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000000"/>
          <w:sz w:val="24"/>
          <w:szCs w:val="24"/>
        </w:rPr>
        <w:t>receive the Collegiate Purple Star designation:</w:t>
      </w:r>
    </w:p>
    <w:p w14:paraId="150A0D90" w14:textId="3DB70FD9" w:rsidR="00BB0342" w:rsidRDefault="00BB0342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</w:p>
    <w:p w14:paraId="32E7DD10" w14:textId="77777777" w:rsidR="00BB0342" w:rsidRDefault="00BB0342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</w:p>
    <w:p w14:paraId="70A77AF5" w14:textId="553BEAD9" w:rsidR="001C6680" w:rsidRPr="00C652C8" w:rsidRDefault="00C652C8" w:rsidP="00C652C8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1.</w:t>
      </w:r>
      <w:r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House Bill 488 Compliance – A commitment to the policies and procedures outlined therein to include</w:t>
      </w:r>
      <w:r w:rsidR="00BB0342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the completion of the required student survey.</w:t>
      </w:r>
    </w:p>
    <w:p w14:paraId="12ECAE78" w14:textId="77777777" w:rsidR="00BB0342" w:rsidRPr="00BB0342" w:rsidRDefault="00BB0342" w:rsidP="00BB0342">
      <w:pPr>
        <w:pStyle w:val="ListParagraph"/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30A4D110" w14:textId="3D8CAF3F" w:rsidR="00224D72" w:rsidRPr="00224D72" w:rsidRDefault="001C6680" w:rsidP="00224D72">
      <w:pPr>
        <w:autoSpaceDE w:val="0"/>
        <w:autoSpaceDN w:val="0"/>
        <w:adjustRightInd w:val="0"/>
        <w:spacing w:after="0" w:line="240" w:lineRule="auto"/>
        <w:ind w:left="360"/>
        <w:rPr>
          <w:rFonts w:ascii="SourceSansPro-Regular" w:hAnsi="SourceSansPro-Regular" w:cs="SourceSansPro-Regular"/>
          <w:color w:val="1A1A1A"/>
          <w:sz w:val="24"/>
          <w:szCs w:val="24"/>
        </w:rPr>
      </w:pPr>
      <w:r>
        <w:rPr>
          <w:rFonts w:ascii="SourceSansPro-Regular" w:hAnsi="SourceSansPro-Regular" w:cs="SourceSansPro-Regular"/>
          <w:color w:val="1A1A1A"/>
          <w:sz w:val="24"/>
          <w:szCs w:val="24"/>
        </w:rPr>
        <w:t>a. Establish a dedicated point of contact and/or military/veteran center or office. Tasks can include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but are not limited to processing of VA Educational Benefits, development of mentoring programs,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provision for a student veteran organization, provision of graduation honor cords, single point of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contact for information on campus resources.</w:t>
      </w:r>
      <w:r w:rsidR="003F21C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 </w:t>
      </w:r>
      <w:r w:rsidR="00224D72">
        <w:rPr>
          <w:rFonts w:ascii="SourceSansPro-Regular" w:hAnsi="SourceSansPro-Regular" w:cs="SourceSansPro-Regular"/>
          <w:color w:val="1A1A1A"/>
          <w:sz w:val="24"/>
          <w:szCs w:val="24"/>
        </w:rPr>
        <w:t>The d</w:t>
      </w:r>
      <w:r w:rsidR="00224D72" w:rsidRPr="00224D72">
        <w:rPr>
          <w:rFonts w:ascii="SourceSansPro-Regular" w:hAnsi="SourceSansPro-Regular" w:cs="SourceSansPro-Regular"/>
          <w:color w:val="1A1A1A"/>
          <w:sz w:val="24"/>
          <w:szCs w:val="24"/>
        </w:rPr>
        <w:t>edicated point of contact needs to be someone other than your primary SCO.</w:t>
      </w:r>
    </w:p>
    <w:p w14:paraId="21EB29B9" w14:textId="3DF50DB5" w:rsidR="001C6680" w:rsidRDefault="003F21C2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3F21C2">
        <w:rPr>
          <w:rFonts w:ascii="SourceSansPro-Regular" w:hAnsi="SourceSansPro-Regular" w:cs="SourceSansPro-Regular"/>
          <w:color w:val="1A1A1A"/>
          <w:sz w:val="24"/>
          <w:szCs w:val="24"/>
        </w:rPr>
        <w:t>The institution must have a representative on the Ohio Veterans Education Council (OVEC) and participate in regular OVEC meetings. (OVEC members are generally the person designated as the single point of contact for their institution.)</w:t>
      </w:r>
    </w:p>
    <w:p w14:paraId="55AC5A00" w14:textId="6121DD79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If applicant is a public institution, please verify your contact information found at</w:t>
      </w:r>
      <w:r w:rsidR="00BB0342" w:rsidRPr="00BB0342">
        <w:t xml:space="preserve"> </w:t>
      </w:r>
      <w:hyperlink r:id="rId8" w:history="1">
        <w:r w:rsidR="00BB0342" w:rsidRPr="00EE72B6">
          <w:rPr>
            <w:rStyle w:val="Hyperlink"/>
            <w:rFonts w:ascii="SourceSansPro-Italic" w:hAnsi="SourceSansPro-Italic" w:cs="SourceSansPro-Italic"/>
            <w:i/>
            <w:iCs/>
            <w:sz w:val="18"/>
            <w:szCs w:val="18"/>
          </w:rPr>
          <w:t>https://highered.ohio.gov/initiatives/campus-initiatives/education-for-veterans/vet-services-ohio-campuses</w:t>
        </w:r>
      </w:hyperlink>
      <w:r w:rsidR="00BB0342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.</w:t>
      </w:r>
    </w:p>
    <w:p w14:paraId="6B3A5A86" w14:textId="3496474D" w:rsidR="006E3BFF" w:rsidRDefault="006E3BFF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Enter contact information here:</w:t>
      </w:r>
    </w:p>
    <w:p w14:paraId="043A3350" w14:textId="77777777" w:rsidR="00BD136F" w:rsidRDefault="00BD136F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3E488641" w14:textId="352636EF" w:rsidR="006E3BFF" w:rsidRDefault="006E3BFF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37EA0CD5" w14:textId="28FB13BC" w:rsidR="006E3BFF" w:rsidRDefault="006E3BFF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4330CA4B" w14:textId="77777777" w:rsidR="006E3BFF" w:rsidRDefault="006E3BFF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F87CC23" w14:textId="2D81DB4A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If applicant is an independent college or university, please provide contacts for your institutions based on </w:t>
      </w:r>
      <w:hyperlink r:id="rId9" w:history="1">
        <w:r w:rsidR="00BB0342" w:rsidRPr="00EE72B6">
          <w:rPr>
            <w:rStyle w:val="Hyperlink"/>
            <w:rFonts w:ascii="SourceSansPro-Italic" w:hAnsi="SourceSansPro-Italic" w:cs="SourceSansPro-Italic"/>
            <w:i/>
            <w:iCs/>
            <w:sz w:val="18"/>
            <w:szCs w:val="18"/>
          </w:rPr>
          <w:t>https://highered.ohio.gov/initiatives/campus-initiatives/education-for-veterans/vet-services-ohio-campuses</w:t>
        </w:r>
      </w:hyperlink>
      <w:r w:rsidR="00BB0342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</w:t>
      </w:r>
    </w:p>
    <w:p w14:paraId="52902E21" w14:textId="47CF2B7A" w:rsidR="006E3BFF" w:rsidRDefault="006E3BFF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Enter contact information here:</w:t>
      </w:r>
    </w:p>
    <w:p w14:paraId="71C3AFA0" w14:textId="77777777" w:rsidR="00BD136F" w:rsidRDefault="00BD136F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574E2174" w14:textId="34634E62" w:rsidR="00BB0342" w:rsidRDefault="00BB0342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60C2CA4F" w14:textId="77777777" w:rsidR="00BB0342" w:rsidRDefault="00BB0342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4CA71F34" w14:textId="77777777" w:rsidR="00BB0342" w:rsidRDefault="00BB0342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17AF5287" w14:textId="4B42E5D2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Regular" w:hAnsi="SourceSansPro-Regular" w:cs="SourceSansPro-Regular"/>
          <w:color w:val="000000"/>
          <w:sz w:val="24"/>
          <w:szCs w:val="24"/>
        </w:rPr>
      </w:pPr>
      <w:r>
        <w:rPr>
          <w:rFonts w:ascii="SourceSansPro-Regular" w:hAnsi="SourceSansPro-Regular" w:cs="SourceSansPro-Regular"/>
          <w:color w:val="000000"/>
          <w:sz w:val="24"/>
          <w:szCs w:val="24"/>
        </w:rPr>
        <w:t>b. Establish priority registration for veterans and service members.</w:t>
      </w:r>
    </w:p>
    <w:p w14:paraId="122BFA81" w14:textId="1AF1BA08" w:rsidR="001C6680" w:rsidRDefault="001C6680" w:rsidP="00BD136F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Show evidence or explain your process of priority registration. Veterans and service members must have some type of priority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registration.</w:t>
      </w:r>
      <w:r w:rsidR="00422746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Please provide a link that can verify this information.</w:t>
      </w:r>
    </w:p>
    <w:p w14:paraId="467A83B2" w14:textId="77777777" w:rsidR="00BD136F" w:rsidRDefault="00BD136F" w:rsidP="00BD136F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1E8AC46F" w14:textId="17AA530F" w:rsidR="00BB0342" w:rsidRDefault="00BB0342" w:rsidP="002D1E0B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8C5F2E4" w14:textId="7D9D143B" w:rsidR="00BB0342" w:rsidRDefault="00BB0342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0E1E266E" w14:textId="77777777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013FFEBA" w14:textId="77777777" w:rsidR="00BB0342" w:rsidRDefault="00BB0342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653B0AE0" w14:textId="22810129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Regular" w:hAnsi="SourceSansPro-Regular" w:cs="SourceSansPro-Regular"/>
          <w:color w:val="1A1A1A"/>
          <w:sz w:val="24"/>
          <w:szCs w:val="24"/>
        </w:rPr>
      </w:pPr>
      <w:r>
        <w:rPr>
          <w:rFonts w:ascii="SourceSansPro-Regular" w:hAnsi="SourceSansPro-Regular" w:cs="SourceSansPro-Regular"/>
          <w:color w:val="1A1A1A"/>
          <w:sz w:val="24"/>
          <w:szCs w:val="24"/>
        </w:rPr>
        <w:t>c. Establish a process for the acceptance and evaluation of military credit and MTAGS per legislativ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e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and Chancellor guidelines. Non-public institutions that do not participate in statewide transfer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agreements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lastRenderedPageBreak/>
        <w:t>such as MTAGs are not expected to guarantee that coursework but are expected to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evaluate it for potential use in their academic programs.</w:t>
      </w:r>
    </w:p>
    <w:p w14:paraId="696DC7AC" w14:textId="67F94344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Briefly explain your institution’s process for awarding credit based on military training. Public institutions should mention how</w:t>
      </w:r>
      <w:r w:rsidR="00422746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MTAGs are processed as well.</w:t>
      </w:r>
    </w:p>
    <w:p w14:paraId="66591A1B" w14:textId="034B5D0C" w:rsidR="00BB0342" w:rsidRDefault="00BB0342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D3D43A9" w14:textId="35B4FB57" w:rsidR="00BB0342" w:rsidRDefault="00BB0342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B1B06FA" w14:textId="77777777" w:rsidR="002E28A8" w:rsidRDefault="002E28A8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0B837B50" w14:textId="1345EB02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Regular" w:hAnsi="SourceSansPro-Regular" w:cs="SourceSansPro-Regular"/>
          <w:color w:val="1A1A1A"/>
          <w:sz w:val="24"/>
          <w:szCs w:val="24"/>
        </w:rPr>
      </w:pPr>
      <w:r>
        <w:rPr>
          <w:rFonts w:ascii="SourceSansPro-Regular" w:hAnsi="SourceSansPro-Regular" w:cs="SourceSansPro-Regular"/>
          <w:color w:val="1A1A1A"/>
          <w:sz w:val="24"/>
          <w:szCs w:val="24"/>
        </w:rPr>
        <w:t>d. Integrate existing career services to create and encourage meaningful collaborative relationships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between student service members, veterans, and alumni of the institution that link student service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members and veterans with prospective employers. Student service members and veterans are to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be </w:t>
      </w:r>
      <w:proofErr w:type="gramStart"/>
      <w:r>
        <w:rPr>
          <w:rFonts w:ascii="SourceSansPro-Regular" w:hAnsi="SourceSansPro-Regular" w:cs="SourceSansPro-Regular"/>
          <w:color w:val="1A1A1A"/>
          <w:sz w:val="24"/>
          <w:szCs w:val="24"/>
        </w:rPr>
        <w:t>provided</w:t>
      </w:r>
      <w:proofErr w:type="gramEnd"/>
      <w:r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social opportunities and, if the institution has career services programs, encourage the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responsible office to seek and promote partnership opportunities for internships and employment of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student service members and veterans with state, local, national, and international employers.</w:t>
      </w:r>
    </w:p>
    <w:p w14:paraId="4E1E6276" w14:textId="25A2AECE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Briefly describe what your career services office does to promote military-connected students.</w:t>
      </w:r>
    </w:p>
    <w:p w14:paraId="6D18DB91" w14:textId="77777777" w:rsidR="00BD136F" w:rsidRDefault="00BD136F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5D7B9D15" w14:textId="52DFB070" w:rsidR="00BB0342" w:rsidRDefault="00BB0342" w:rsidP="002D1E0B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0FACE930" w14:textId="777A98AC" w:rsidR="002E28A8" w:rsidRDefault="002E28A8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359F41F8" w14:textId="77777777" w:rsidR="00422746" w:rsidRDefault="00422746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1E57B765" w14:textId="77777777" w:rsidR="00BB0342" w:rsidRDefault="00BB0342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4851A3C1" w14:textId="1842D16C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Regular" w:hAnsi="SourceSansPro-Regular" w:cs="SourceSansPro-Regular"/>
          <w:color w:val="1A1A1A"/>
          <w:sz w:val="24"/>
          <w:szCs w:val="24"/>
        </w:rPr>
      </w:pPr>
      <w:r>
        <w:rPr>
          <w:rFonts w:ascii="SourceSansPro-Regular" w:hAnsi="SourceSansPro-Regular" w:cs="SourceSansPro-Regular"/>
          <w:color w:val="1A1A1A"/>
          <w:sz w:val="24"/>
          <w:szCs w:val="24"/>
        </w:rPr>
        <w:t>e. Survey student service members, veterans, spouses, and dependents to identify their needs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and challenges and make the survey available to faculty and staff at the respective institution</w:t>
      </w:r>
      <w:r w:rsidR="00BC1CF3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or </w:t>
      </w:r>
      <w:proofErr w:type="gramStart"/>
      <w:r w:rsidR="00BC1CF3">
        <w:rPr>
          <w:rFonts w:ascii="SourceSansPro-Regular" w:hAnsi="SourceSansPro-Regular" w:cs="SourceSansPro-Regular"/>
          <w:color w:val="1A1A1A"/>
          <w:sz w:val="24"/>
          <w:szCs w:val="24"/>
        </w:rPr>
        <w:t>general public</w:t>
      </w:r>
      <w:proofErr w:type="gramEnd"/>
      <w:r>
        <w:rPr>
          <w:rFonts w:ascii="SourceSansPro-Regular" w:hAnsi="SourceSansPro-Regular" w:cs="SourceSansPro-Regular"/>
          <w:color w:val="1A1A1A"/>
          <w:sz w:val="24"/>
          <w:szCs w:val="24"/>
        </w:rPr>
        <w:t>.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Periodically conduct follow-up surveys, at a frequency determined by the board of trustees, to gauge</w:t>
      </w:r>
      <w:r w:rsidR="00BB0342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the institution’s progress toward meeting identified needs and challenges.</w:t>
      </w:r>
    </w:p>
    <w:p w14:paraId="3C404B7D" w14:textId="6A80A196" w:rsidR="00BB0342" w:rsidRDefault="001C6680" w:rsidP="002D1E0B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Describe your survey process and the frequency at which you have or plan to conduct future surveys.</w:t>
      </w:r>
      <w:r w:rsidR="00422746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Also, briefly explain how your institution tracks military-connected students.</w:t>
      </w:r>
    </w:p>
    <w:p w14:paraId="14EB54FD" w14:textId="23283279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58250726" w14:textId="77777777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04CF1B9" w14:textId="0C1F265B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Regular" w:hAnsi="SourceSansPro-Regular" w:cs="SourceSansPro-Regular"/>
          <w:color w:val="1A1A1A"/>
          <w:sz w:val="24"/>
          <w:szCs w:val="24"/>
        </w:rPr>
      </w:pPr>
      <w:r>
        <w:rPr>
          <w:rFonts w:ascii="SourceSansPro-Regular" w:hAnsi="SourceSansPro-Regular" w:cs="SourceSansPro-Regular"/>
          <w:color w:val="1A1A1A"/>
          <w:sz w:val="24"/>
          <w:szCs w:val="24"/>
        </w:rPr>
        <w:t>f. Allow for the establishment of a student-led group on campus for student service members and</w:t>
      </w:r>
      <w:r w:rsidR="0037075B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veterans and encourage other service </w:t>
      </w:r>
      <w:proofErr w:type="gramStart"/>
      <w:r>
        <w:rPr>
          <w:rFonts w:ascii="SourceSansPro-Regular" w:hAnsi="SourceSansPro-Regular" w:cs="SourceSansPro-Regular"/>
          <w:color w:val="1A1A1A"/>
          <w:sz w:val="24"/>
          <w:szCs w:val="24"/>
        </w:rPr>
        <w:t>member</w:t>
      </w:r>
      <w:proofErr w:type="gramEnd"/>
      <w:r>
        <w:rPr>
          <w:rFonts w:ascii="SourceSansPro-Regular" w:hAnsi="SourceSansPro-Regular" w:cs="SourceSansPro-Regular"/>
          <w:color w:val="1A1A1A"/>
          <w:sz w:val="24"/>
          <w:szCs w:val="24"/>
        </w:rPr>
        <w:t>- and veteran-friendly organizations.</w:t>
      </w:r>
    </w:p>
    <w:p w14:paraId="1C189348" w14:textId="4F23505D" w:rsidR="00C63AB3" w:rsidRDefault="001C6680" w:rsidP="002D1E0B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Verify that there are no prohibitions to creating a student-led, military-connected group on campus and note any military</w:t>
      </w:r>
      <w:r w:rsidR="00C63AB3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-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connected</w:t>
      </w:r>
      <w:r w:rsidR="00C63AB3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student group(s) on your campus. A student-led group does not have to currently exist on your campus.</w:t>
      </w:r>
    </w:p>
    <w:p w14:paraId="789BA8C3" w14:textId="06A635A8" w:rsidR="002E28A8" w:rsidRDefault="002E28A8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31652867" w14:textId="77777777" w:rsidR="002E28A8" w:rsidRDefault="002E28A8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539483EA" w14:textId="77777777" w:rsidR="00C63AB3" w:rsidRDefault="00C63AB3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2DBA948F" w14:textId="2959120D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Regular" w:hAnsi="SourceSansPro-Regular" w:cs="SourceSansPro-Regular"/>
          <w:color w:val="1A1A1A"/>
          <w:sz w:val="24"/>
          <w:szCs w:val="24"/>
        </w:rPr>
      </w:pPr>
      <w:r>
        <w:rPr>
          <w:rFonts w:ascii="SourceSansPro-Regular" w:hAnsi="SourceSansPro-Regular" w:cs="SourceSansPro-Regular"/>
          <w:color w:val="1A1A1A"/>
          <w:sz w:val="24"/>
          <w:szCs w:val="24"/>
        </w:rPr>
        <w:t>g. No state institution of higher education, as defined in section 3345.011 of the Revised Code, shall</w:t>
      </w:r>
      <w:r w:rsidR="00C63AB3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charge a student who is a veteran or a service member any fee for the evaluation of, transcription of,</w:t>
      </w:r>
      <w:r w:rsidR="00C63AB3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or application for college credit for military experience. Non-public institutions should strive for little</w:t>
      </w:r>
      <w:r w:rsidR="00C63AB3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1A1A1A"/>
          <w:sz w:val="24"/>
          <w:szCs w:val="24"/>
        </w:rPr>
        <w:t>to no cost as part of the evaluation and transcription process for service members and veterans.</w:t>
      </w:r>
    </w:p>
    <w:p w14:paraId="460CE856" w14:textId="27042332" w:rsidR="001C6680" w:rsidRDefault="001C6680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Public institutions</w:t>
      </w:r>
      <w:r w:rsidR="003D2804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,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please affirm that you are not charging a veteran or service member any fee for the evaluation, transcription,</w:t>
      </w:r>
      <w:r w:rsidR="00C652C8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and application of military coursework, training, and experience. Independent colleges and universities, please note what your</w:t>
      </w:r>
      <w:r w:rsidR="00C652C8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fee structure is and if you have considered </w:t>
      </w:r>
      <w:proofErr w:type="gramStart"/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waiving</w:t>
      </w:r>
      <w:proofErr w:type="gramEnd"/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it for veterans and service members.</w:t>
      </w:r>
    </w:p>
    <w:p w14:paraId="64C6FF91" w14:textId="77777777" w:rsidR="00BD136F" w:rsidRDefault="00BD136F" w:rsidP="00C652C8">
      <w:pPr>
        <w:autoSpaceDE w:val="0"/>
        <w:autoSpaceDN w:val="0"/>
        <w:adjustRightInd w:val="0"/>
        <w:spacing w:after="0" w:line="240" w:lineRule="auto"/>
        <w:ind w:left="360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2113A781" w14:textId="77777777" w:rsidR="00BD136F" w:rsidRDefault="00BD136F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  <w:bookmarkStart w:id="0" w:name="_Hlk114665310"/>
    </w:p>
    <w:p w14:paraId="4C46AF86" w14:textId="77777777" w:rsidR="00BD136F" w:rsidRDefault="00BD136F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</w:p>
    <w:p w14:paraId="622FE756" w14:textId="0A0DBE35" w:rsidR="001C6680" w:rsidRPr="00C652C8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2. Institution has implemented the current Keys to Veteran Success and can verify each element.</w:t>
      </w:r>
    </w:p>
    <w:p w14:paraId="18114C17" w14:textId="7F243ACC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Keys to Veteran Success can be found at </w:t>
      </w:r>
      <w:r>
        <w:rPr>
          <w:rFonts w:ascii="SourceSansPro-Italic" w:hAnsi="SourceSansPro-Italic" w:cs="SourceSansPro-Italic"/>
          <w:i/>
          <w:iCs/>
          <w:color w:val="0045D7"/>
          <w:sz w:val="18"/>
          <w:szCs w:val="18"/>
        </w:rPr>
        <w:t>https://www.ed.gov/veterans-and-military-families/8-keys-success-sites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. Please summarize</w:t>
      </w:r>
      <w:r w:rsidR="002E28A8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your compliance</w:t>
      </w:r>
      <w:r w:rsidR="00295831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and </w:t>
      </w:r>
      <w:r w:rsidR="00295831" w:rsidRPr="009B0A67">
        <w:rPr>
          <w:rFonts w:ascii="SourceSansPro-Italic" w:hAnsi="SourceSansPro-Italic" w:cs="SourceSansPro-Italic"/>
          <w:i/>
          <w:iCs/>
          <w:color w:val="000000"/>
          <w:sz w:val="18"/>
          <w:szCs w:val="18"/>
          <w:u w:val="single"/>
        </w:rPr>
        <w:t>provide examples</w:t>
      </w:r>
      <w:r w:rsidR="00295831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.</w:t>
      </w:r>
    </w:p>
    <w:p w14:paraId="3E65C922" w14:textId="61E1F9F6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353F3FB0" w14:textId="567B1D4D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bookmarkEnd w:id="0"/>
    <w:p w14:paraId="10C73851" w14:textId="05C8AE65" w:rsidR="00C61D7E" w:rsidRPr="00C61D7E" w:rsidRDefault="00C61D7E" w:rsidP="00C61D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 w:rsidRPr="00C61D7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How is your institution creating a culture of trust and connectedness across the campus community to promote well-being and success for veterans? 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45C82F5A" w14:textId="6DAA318D" w:rsidR="00C61D7E" w:rsidRPr="00C61D7E" w:rsidRDefault="00C61D7E" w:rsidP="002D1E0B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01A16698" w14:textId="20ADC299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27E97F55" w14:textId="77777777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43C69681" w14:textId="7ED71EE5" w:rsidR="00C61D7E" w:rsidRPr="00C61D7E" w:rsidRDefault="00C61D7E" w:rsidP="00C61D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 w:rsidRPr="00C61D7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How is your institution ensuring consistent and sustained support from campus leadership?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2DEA6B2D" w14:textId="4652B48A" w:rsidR="00C61D7E" w:rsidRPr="00C61D7E" w:rsidRDefault="00C61D7E" w:rsidP="002D1E0B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151E70BF" w14:textId="4A594C34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ind w:firstLine="45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4BD8093B" w14:textId="77777777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39E6FEF7" w14:textId="1DC93EF7" w:rsidR="00C61D7E" w:rsidRPr="00C61D7E" w:rsidRDefault="00C61D7E" w:rsidP="00C61D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 w:rsidRPr="00C61D7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Does your institution have an early alert system to ensure all veterans receive academic, career, and financial advice before challenges become overwhelming?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6DD01E19" w14:textId="3C6F94BA" w:rsidR="00C61D7E" w:rsidRPr="00C61D7E" w:rsidRDefault="00C61D7E" w:rsidP="002D1E0B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E8B5733" w14:textId="6C6051EB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429D2DBF" w14:textId="77777777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22F0D9B8" w14:textId="32370BA7" w:rsidR="00C61D7E" w:rsidRPr="009A77DE" w:rsidRDefault="009A77DE" w:rsidP="009A77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 w:rsidRPr="009A77D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How does your institution coordinate and centralize campus efforts for all veterans, together with the creation of a designated space for them (even if limited in size)? Please verify that a meeting space </w:t>
      </w:r>
      <w:r w:rsidR="00401A6D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would be</w:t>
      </w:r>
      <w:r w:rsidRPr="009A77D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available upon request by military-connected students.</w:t>
      </w:r>
      <w:r w:rsidR="00BD136F" w:rsidRPr="009A77D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70BBFB02" w14:textId="05BB7C84" w:rsidR="00C61D7E" w:rsidRPr="00C61D7E" w:rsidRDefault="00C61D7E" w:rsidP="002D1E0B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69966F2" w14:textId="74FA4633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ind w:firstLine="45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60F4F6A" w14:textId="77777777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5294DC00" w14:textId="15D96322" w:rsidR="00C61D7E" w:rsidRPr="00C61D7E" w:rsidRDefault="00C61D7E" w:rsidP="00C61D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 w:rsidRPr="00C61D7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How does your institution collaborate with local communities and organizations, including government agencies, to align and coordinate various services for veterans?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33C8C1B8" w14:textId="22F901D7" w:rsidR="00C61D7E" w:rsidRPr="00C61D7E" w:rsidRDefault="00C61D7E" w:rsidP="002D1E0B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55CFDDB2" w14:textId="56348F1B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2278D5A6" w14:textId="77777777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10A90EEF" w14:textId="4FBCDD0D" w:rsidR="00C61D7E" w:rsidRPr="00C61D7E" w:rsidRDefault="00C61D7E" w:rsidP="00C61D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 w:rsidRPr="00C61D7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Does your institution utilize a uniform set of data tools to collect and track information on veterans, including demographics, retention, and degree completion?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7B0639C1" w14:textId="1569BB77" w:rsidR="00C61D7E" w:rsidRPr="00C61D7E" w:rsidRDefault="00C61D7E" w:rsidP="002D1E0B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6A6765C1" w14:textId="18A56EEC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1BB797D9" w14:textId="77777777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6D9DA2A2" w14:textId="77777777" w:rsidR="00B85F3E" w:rsidRPr="00B85F3E" w:rsidRDefault="00B85F3E" w:rsidP="00B85F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 w:rsidRPr="00B85F3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Does your institution provide comprehensive professional development for faculty and staff on issues and challenges unique to veterans?</w:t>
      </w:r>
      <w:r w:rsidRPr="00B85F3E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Pr="00B85F3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In the event of a lack of resources, evidence of sharing training between institutions would be acceptable.</w:t>
      </w:r>
    </w:p>
    <w:p w14:paraId="2849EAE4" w14:textId="638E8553" w:rsidR="00C61D7E" w:rsidRPr="00C61D7E" w:rsidRDefault="00BD136F" w:rsidP="00B85F3E">
      <w:pPr>
        <w:pStyle w:val="ListParagraph"/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36C500D3" w14:textId="02D99BE8" w:rsidR="00C61D7E" w:rsidRPr="00C61D7E" w:rsidRDefault="00C61D7E" w:rsidP="002D1E0B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0393C4AB" w14:textId="008893E0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56EC8520" w14:textId="77777777" w:rsidR="00C61D7E" w:rsidRPr="00C61D7E" w:rsidRDefault="00C61D7E" w:rsidP="00C61D7E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10121FF1" w14:textId="29D4FEA5" w:rsidR="00BD136F" w:rsidRPr="002D1E0B" w:rsidRDefault="00C61D7E" w:rsidP="001C66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 w:rsidRPr="00C61D7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Has your institution developed systems that ensure sustainability of effective practices for veterans?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5D79A4DB" w14:textId="77777777" w:rsidR="00BD136F" w:rsidRDefault="00BD136F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</w:p>
    <w:p w14:paraId="542335C4" w14:textId="77777777" w:rsidR="00BD136F" w:rsidRDefault="00BD136F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</w:p>
    <w:p w14:paraId="5572F73F" w14:textId="77777777" w:rsidR="00BD136F" w:rsidRDefault="00BD136F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</w:p>
    <w:p w14:paraId="36CDFC4F" w14:textId="65D2722C" w:rsidR="001C6680" w:rsidRPr="00C652C8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3. Institution has implemented the current Principles of Excellence and can verify each element.</w:t>
      </w:r>
    </w:p>
    <w:p w14:paraId="175520F8" w14:textId="77777777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Principles of Excellence can be found at </w:t>
      </w:r>
      <w:r>
        <w:rPr>
          <w:rFonts w:ascii="SourceSansPro-Italic" w:hAnsi="SourceSansPro-Italic" w:cs="SourceSansPro-Italic"/>
          <w:i/>
          <w:iCs/>
          <w:color w:val="0045D7"/>
          <w:sz w:val="18"/>
          <w:szCs w:val="18"/>
        </w:rPr>
        <w:t>http://www.benefits.va.gov/gibill/principles_of_excellence.asp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. Please summarize your</w:t>
      </w:r>
    </w:p>
    <w:p w14:paraId="67859FF7" w14:textId="04BD8608" w:rsidR="002E28A8" w:rsidRDefault="005C77DA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C</w:t>
      </w:r>
      <w:r w:rsidR="001C6680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ompliance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and </w:t>
      </w:r>
      <w:r w:rsidRPr="005C77DA">
        <w:rPr>
          <w:rFonts w:ascii="SourceSansPro-Italic" w:hAnsi="SourceSansPro-Italic" w:cs="SourceSansPro-Italic"/>
          <w:i/>
          <w:iCs/>
          <w:color w:val="000000"/>
          <w:sz w:val="18"/>
          <w:szCs w:val="18"/>
          <w:u w:val="single"/>
        </w:rPr>
        <w:t>provide examples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.</w:t>
      </w:r>
    </w:p>
    <w:p w14:paraId="66654A33" w14:textId="6BC3B212" w:rsidR="004F662F" w:rsidRPr="004F662F" w:rsidRDefault="004F662F" w:rsidP="004F662F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5F7BC0">
        <w:rPr>
          <w:rFonts w:ascii="SourceSansPro-Regular" w:hAnsi="SourceSansPro-Regular" w:cs="SourceSansPro-Regular"/>
          <w:color w:val="1A1A1A"/>
          <w:sz w:val="24"/>
          <w:szCs w:val="24"/>
        </w:rPr>
        <w:t>A</w:t>
      </w: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written personal summary of the total cost of your educational program, including:</w:t>
      </w:r>
    </w:p>
    <w:p w14:paraId="25C79FE6" w14:textId="48371652" w:rsidR="004F662F" w:rsidRPr="002D1E0B" w:rsidRDefault="004F662F" w:rsidP="002D1E0B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The costs </w:t>
      </w:r>
      <w:proofErr w:type="gramStart"/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>covered</w:t>
      </w:r>
      <w:proofErr w:type="gramEnd"/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by your benefits.</w:t>
      </w:r>
    </w:p>
    <w:p w14:paraId="651321E9" w14:textId="77777777" w:rsidR="00753F0F" w:rsidRPr="004F662F" w:rsidRDefault="00753F0F" w:rsidP="004F662F">
      <w:pPr>
        <w:shd w:val="clear" w:color="auto" w:fill="FFFFFF"/>
        <w:spacing w:before="100" w:beforeAutospacing="1" w:after="120" w:line="240" w:lineRule="auto"/>
        <w:ind w:left="1440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4E3440C0" w14:textId="15B0418A" w:rsidR="004F662F" w:rsidRPr="002D1E0B" w:rsidRDefault="004F662F" w:rsidP="002D1E0B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The financial aid </w:t>
      </w:r>
      <w:r w:rsidR="003D2804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for which </w:t>
      </w: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>you may qualify.</w:t>
      </w:r>
    </w:p>
    <w:p w14:paraId="289744B9" w14:textId="77777777" w:rsidR="004F662F" w:rsidRPr="004F662F" w:rsidRDefault="004F662F" w:rsidP="00261013">
      <w:p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642D727A" w14:textId="6F8E2167" w:rsidR="004F662F" w:rsidRPr="002D1E0B" w:rsidRDefault="004F662F" w:rsidP="002D1E0B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>Your expected student</w:t>
      </w:r>
      <w:r w:rsidR="00A348A7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</w:t>
      </w: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>loan debt after you graduate.</w:t>
      </w:r>
    </w:p>
    <w:p w14:paraId="00378D7B" w14:textId="77777777" w:rsidR="00261013" w:rsidRPr="004F662F" w:rsidRDefault="00261013" w:rsidP="004F662F">
      <w:pPr>
        <w:shd w:val="clear" w:color="auto" w:fill="FFFFFF"/>
        <w:spacing w:before="100" w:beforeAutospacing="1" w:after="120" w:line="240" w:lineRule="auto"/>
        <w:ind w:left="1440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786A8B18" w14:textId="3E8DADCD" w:rsidR="004F662F" w:rsidRPr="005F7BC0" w:rsidRDefault="004F662F" w:rsidP="004F662F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>Other information to help you compare aid packages offered by different schools.</w:t>
      </w:r>
    </w:p>
    <w:p w14:paraId="3C8896F9" w14:textId="0C2F5D9B" w:rsidR="004F662F" w:rsidRPr="002D1E0B" w:rsidRDefault="004F662F" w:rsidP="002D1E0B">
      <w:pPr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5C51787F" w14:textId="77777777" w:rsidR="004F662F" w:rsidRPr="004F662F" w:rsidRDefault="004F662F" w:rsidP="00261013">
      <w:pPr>
        <w:shd w:val="clear" w:color="auto" w:fill="FFFFFF"/>
        <w:spacing w:before="100" w:beforeAutospacing="1"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1F828D70" w14:textId="682597F0" w:rsidR="004F662F" w:rsidRPr="002D1E0B" w:rsidRDefault="004F662F" w:rsidP="002D1E0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>Give an educational plan with a timeline showing how and when you can fulfill everything required for you to graduate.</w:t>
      </w:r>
    </w:p>
    <w:p w14:paraId="6023AC87" w14:textId="77777777" w:rsidR="00753F0F" w:rsidRDefault="00753F0F" w:rsidP="004F662F">
      <w:pPr>
        <w:shd w:val="clear" w:color="auto" w:fill="FFFFFF"/>
        <w:spacing w:before="100" w:beforeAutospacing="1" w:after="120" w:line="240" w:lineRule="auto"/>
        <w:ind w:left="720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5DB26FE1" w14:textId="10F8B780" w:rsidR="004F662F" w:rsidRPr="002D1E0B" w:rsidRDefault="004F662F" w:rsidP="002D1E0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Assign a point of contact who will </w:t>
      </w:r>
      <w:r w:rsidR="00A348A7">
        <w:rPr>
          <w:rFonts w:ascii="SourceSansPro-Regular" w:hAnsi="SourceSansPro-Regular" w:cs="SourceSansPro-Regular"/>
          <w:color w:val="1A1A1A"/>
          <w:sz w:val="24"/>
          <w:szCs w:val="24"/>
        </w:rPr>
        <w:t>provide</w:t>
      </w: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ongoing academic and financial advice (including access to disability counseling).</w:t>
      </w:r>
    </w:p>
    <w:p w14:paraId="09BDCB03" w14:textId="77777777" w:rsidR="00753F0F" w:rsidRPr="005F7BC0" w:rsidRDefault="00753F0F" w:rsidP="004F662F">
      <w:pPr>
        <w:pStyle w:val="ListParagraph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03F5E40D" w14:textId="34348F74" w:rsidR="004F662F" w:rsidRPr="002D1E0B" w:rsidRDefault="004F662F" w:rsidP="002D1E0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proofErr w:type="gramStart"/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>Allow for</w:t>
      </w:r>
      <w:proofErr w:type="gramEnd"/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 xml:space="preserve"> you to be gone for both long and short periods of time due to service obligations (service you must fulfill) for active-duty service members and Reservists.</w:t>
      </w:r>
      <w:r w:rsidR="00BD136F" w:rsidRPr="002D1E0B">
        <w:rPr>
          <w:rFonts w:ascii="SourceSansPro-Regular" w:hAnsi="SourceSansPro-Regular" w:cs="SourceSansPro-Regular"/>
          <w:color w:val="1A1A1A"/>
          <w:sz w:val="24"/>
          <w:szCs w:val="24"/>
        </w:rPr>
        <w:br/>
      </w:r>
    </w:p>
    <w:p w14:paraId="38E49470" w14:textId="69B693AB" w:rsidR="004F662F" w:rsidRPr="00BD136F" w:rsidRDefault="004F662F" w:rsidP="00DE5B75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BD136F">
        <w:rPr>
          <w:rFonts w:ascii="SourceSansPro-Regular" w:hAnsi="SourceSansPro-Regular" w:cs="SourceSansPro-Regular"/>
          <w:color w:val="1A1A1A"/>
          <w:sz w:val="24"/>
          <w:szCs w:val="24"/>
        </w:rPr>
        <w:t>Make sure all new programs are accredited (officially approved) before enrolling students.</w:t>
      </w:r>
    </w:p>
    <w:p w14:paraId="1D5C72BF" w14:textId="77777777" w:rsidR="00753F0F" w:rsidRPr="005F7BC0" w:rsidRDefault="00753F0F" w:rsidP="004F662F">
      <w:pPr>
        <w:pStyle w:val="ListParagraph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3214ED15" w14:textId="0502D6D9" w:rsidR="004F662F" w:rsidRPr="00BD136F" w:rsidRDefault="004F662F" w:rsidP="001A62EB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BD136F">
        <w:rPr>
          <w:rFonts w:ascii="SourceSansPro-Regular" w:hAnsi="SourceSansPro-Regular" w:cs="SourceSansPro-Regular"/>
          <w:color w:val="1A1A1A"/>
          <w:sz w:val="24"/>
          <w:szCs w:val="24"/>
        </w:rPr>
        <w:t>Make sure their refund policies follow Title IV rules, which guide federal student financial aid programs.</w:t>
      </w:r>
    </w:p>
    <w:p w14:paraId="7A395AA1" w14:textId="77777777" w:rsidR="00261013" w:rsidRPr="004F662F" w:rsidRDefault="00261013" w:rsidP="002D1E0B">
      <w:pPr>
        <w:shd w:val="clear" w:color="auto" w:fill="FFFFFF"/>
        <w:spacing w:before="100" w:beforeAutospacing="1" w:after="12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3E5936EF" w14:textId="77777777" w:rsidR="004F662F" w:rsidRPr="004F662F" w:rsidRDefault="004F662F" w:rsidP="004F662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4F662F">
        <w:rPr>
          <w:rFonts w:ascii="SourceSansPro-Regular" w:hAnsi="SourceSansPro-Regular" w:cs="SourceSansPro-Regular"/>
          <w:color w:val="1A1A1A"/>
          <w:sz w:val="24"/>
          <w:szCs w:val="24"/>
        </w:rPr>
        <w:t>End fraudulent (deceitful) and aggressive methods of recruiting.</w:t>
      </w:r>
    </w:p>
    <w:p w14:paraId="4976A700" w14:textId="77777777" w:rsidR="004F662F" w:rsidRDefault="004F662F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15C2A82C" w14:textId="77777777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F3FF202" w14:textId="77777777" w:rsidR="002D1E0B" w:rsidRDefault="002D1E0B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484B612F" w14:textId="77777777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08127177" w14:textId="53947D00" w:rsidR="001C6680" w:rsidRPr="00C652C8" w:rsidRDefault="00457DB6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  <w:r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4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. Institutional policies regarding military-connected students that are clearly posted and available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(catalog, webpage specifically for veterans) – Policies on deployments, application fees, tutoring,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transfer credit, transfer credit appeals process, Veterans Affairs Educational Benefits, tuition assistance,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military dependent issues, etc. Information about these policies should be readily available to enrolled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students and employed faculty and staff.</w:t>
      </w:r>
    </w:p>
    <w:p w14:paraId="640B5863" w14:textId="7246C299" w:rsidR="002E28A8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Please note where military-connected students can find policies or guidance on the issues noted in this criterion.</w:t>
      </w:r>
      <w:r w:rsidR="00F3129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Provide links to these documents/policies.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29FC82FE" w14:textId="573A25D6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013CB907" w14:textId="59014E61" w:rsidR="001C6680" w:rsidRPr="00C652C8" w:rsidRDefault="00BD136F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  <w:r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br/>
      </w:r>
      <w:r w:rsidR="00457DB6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5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. A written policy to work with off-campus stakeholders such as PreK-12 Purple Star Schools, Ohio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Department of Veterans Services, U.S. Veterans Affairs, Ohio Department of Higher Education, Ohio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National Guard, and other related community organizations to strengthen resources and policies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geared toward military-connected students. Institutions should plan to engage with their regional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hyperlink r:id="rId10" w:history="1">
        <w:r w:rsidR="001C6680" w:rsidRPr="00FC175A">
          <w:rPr>
            <w:rStyle w:val="Hyperlink"/>
            <w:rFonts w:ascii="SourceSansPro-Regular" w:hAnsi="SourceSansPro-Regular" w:cs="SourceSansPro-Regular"/>
            <w:b/>
            <w:bCs/>
            <w:sz w:val="24"/>
            <w:szCs w:val="24"/>
          </w:rPr>
          <w:t>PreK-12 Purple Star Schools</w:t>
        </w:r>
      </w:hyperlink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to develop partnerships, share resources, and potentially pursue student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="001C6680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mentorship programs within existing local school districts’ guidelines.</w:t>
      </w:r>
    </w:p>
    <w:p w14:paraId="1192E5F6" w14:textId="77777777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The intent is to have a written policy in place but understand that in some cases that takes time. Please discuss your institution’s</w:t>
      </w:r>
    </w:p>
    <w:p w14:paraId="5A9BC12D" w14:textId="5DC1F803" w:rsidR="002E28A8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plans to work with various off-campus stakeholders mentioned above as well as what plans you </w:t>
      </w:r>
      <w:proofErr w:type="gramStart"/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have to</w:t>
      </w:r>
      <w:proofErr w:type="gramEnd"/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sustain those relationships</w:t>
      </w:r>
      <w:r w:rsidR="00F3129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</w:t>
      </w: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(via a policy or not).</w:t>
      </w:r>
      <w:r w:rsidR="00F3129E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 Also explain your plan to achieve a written policy.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58F87D9F" w14:textId="4FF82F1A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F33D953" w14:textId="77777777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26FB3F5C" w14:textId="14C5172F" w:rsidR="00D207FD" w:rsidRPr="00457DB6" w:rsidRDefault="00457DB6" w:rsidP="00457D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  <w:r w:rsidRPr="00457DB6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I</w:t>
      </w:r>
      <w:r w:rsidR="00D207FD" w:rsidRPr="00457DB6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s the institutions approval through the Ohio State Approving Agency to accept VA Education Benefits under Title 38 current (current catalog on file)? Please provide the last reapproval date.</w:t>
      </w:r>
    </w:p>
    <w:p w14:paraId="0FBA6D03" w14:textId="77777777" w:rsidR="00D207FD" w:rsidRPr="00D207FD" w:rsidRDefault="00D207FD" w:rsidP="00457DB6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color w:val="000000"/>
          <w:sz w:val="18"/>
          <w:szCs w:val="18"/>
        </w:rPr>
      </w:pPr>
      <w:r w:rsidRPr="00D207FD">
        <w:rPr>
          <w:rFonts w:ascii="SourceSansPro-Italic" w:hAnsi="SourceSansPro-Italic" w:cs="SourceSansPro-Italic"/>
          <w:color w:val="000000"/>
          <w:sz w:val="18"/>
          <w:szCs w:val="18"/>
        </w:rPr>
        <w:lastRenderedPageBreak/>
        <w:t>                  </w:t>
      </w:r>
      <w:r w:rsidRPr="00D207FD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To locate the last approval date, review the SAA-9 Approval Letter or VA WEAMS report. For questions about the institutions approval status, email </w:t>
      </w:r>
      <w:hyperlink r:id="rId11" w:tooltip="mailto:OhioSAA@dvs.ohio.gov" w:history="1">
        <w:r w:rsidRPr="00D207FD">
          <w:rPr>
            <w:rStyle w:val="Hyperlink"/>
            <w:rFonts w:ascii="SourceSansPro-Italic" w:hAnsi="SourceSansPro-Italic" w:cs="SourceSansPro-Italic"/>
            <w:i/>
            <w:iCs/>
            <w:sz w:val="18"/>
            <w:szCs w:val="18"/>
          </w:rPr>
          <w:t>OhioSAA@dvs.ohio.gov</w:t>
        </w:r>
      </w:hyperlink>
      <w:r w:rsidRPr="00D207FD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 or visit </w:t>
      </w:r>
      <w:hyperlink r:id="rId12" w:tgtFrame="_blank" w:tooltip="Original URL: https://dvs.ohio.gov/jobs-and-education/state-approving-agency. Click or tap if you trust this link." w:history="1">
        <w:r w:rsidRPr="00D207FD">
          <w:rPr>
            <w:rStyle w:val="Hyperlink"/>
            <w:rFonts w:ascii="SourceSansPro-Italic" w:hAnsi="SourceSansPro-Italic" w:cs="SourceSansPro-Italic"/>
            <w:sz w:val="18"/>
            <w:szCs w:val="18"/>
          </w:rPr>
          <w:t>State Approving Agency | Department of Veterans Services</w:t>
        </w:r>
      </w:hyperlink>
    </w:p>
    <w:p w14:paraId="18D27AA9" w14:textId="36ADA808" w:rsidR="00D207FD" w:rsidRPr="00D207FD" w:rsidRDefault="00D207FD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color w:val="000000"/>
          <w:sz w:val="18"/>
          <w:szCs w:val="18"/>
        </w:rPr>
      </w:pPr>
    </w:p>
    <w:p w14:paraId="75C336E4" w14:textId="77777777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42225E"/>
          <w:sz w:val="28"/>
          <w:szCs w:val="28"/>
        </w:rPr>
      </w:pPr>
    </w:p>
    <w:p w14:paraId="59E6D0FE" w14:textId="40A0D975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42225E"/>
          <w:sz w:val="28"/>
          <w:szCs w:val="28"/>
        </w:rPr>
      </w:pPr>
      <w:r>
        <w:rPr>
          <w:rFonts w:ascii="SerifaStd-Bold" w:hAnsi="SerifaStd-Bold" w:cs="SerifaStd-Bold"/>
          <w:b/>
          <w:bCs/>
          <w:color w:val="42225E"/>
          <w:sz w:val="28"/>
          <w:szCs w:val="28"/>
        </w:rPr>
        <w:t>Additional Criteria Not Required, But Strongly Recommended</w:t>
      </w:r>
    </w:p>
    <w:p w14:paraId="49CED105" w14:textId="77777777" w:rsidR="00C652C8" w:rsidRDefault="00C652C8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3CC731A9" w14:textId="0C704334" w:rsidR="001C6680" w:rsidRPr="00C652C8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1. Participation in the Department of Defense Memorandum of Understanding for Federal Tuition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Assistance (commonly referred to as the DoD MOU).</w:t>
      </w:r>
    </w:p>
    <w:p w14:paraId="07ED86FD" w14:textId="4B31D12F" w:rsidR="002E28A8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Proof of DoD MOU participation will be verified at </w:t>
      </w:r>
      <w:hyperlink r:id="rId13" w:history="1">
        <w:r w:rsidR="002E28A8" w:rsidRPr="00EE72B6">
          <w:rPr>
            <w:rStyle w:val="Hyperlink"/>
            <w:rFonts w:ascii="SourceSansPro-Italic" w:hAnsi="SourceSansPro-Italic" w:cs="SourceSansPro-Italic"/>
            <w:i/>
            <w:iCs/>
            <w:sz w:val="18"/>
            <w:szCs w:val="18"/>
          </w:rPr>
          <w:t>www.dodmou.com/Home/InstitutionList</w:t>
        </w:r>
      </w:hyperlink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.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2AF35B5D" w14:textId="5504C778" w:rsidR="005838D5" w:rsidRDefault="005838D5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3365186B" w14:textId="77777777" w:rsidR="005838D5" w:rsidRDefault="005838D5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00BE0C19" w14:textId="77777777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7B5A73C5" w14:textId="39DBACF5" w:rsidR="001C6680" w:rsidRPr="00C652C8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2. Participation in the Yellow Ribbon program when applicable (many public institutions’ tuition rates are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below the need to participate in the Yellow Ribbon program).</w:t>
      </w:r>
    </w:p>
    <w:p w14:paraId="1F8FB4BA" w14:textId="5132D18A" w:rsidR="005838D5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 xml:space="preserve">Proof of participation in Yellow Ribbon program will be verified via </w:t>
      </w:r>
      <w:hyperlink r:id="rId14" w:history="1">
        <w:r w:rsidR="002E28A8" w:rsidRPr="00EE72B6">
          <w:rPr>
            <w:rStyle w:val="Hyperlink"/>
            <w:rFonts w:ascii="SourceSansPro-Italic" w:hAnsi="SourceSansPro-Italic" w:cs="SourceSansPro-Italic"/>
            <w:i/>
            <w:iCs/>
            <w:sz w:val="18"/>
            <w:szCs w:val="18"/>
          </w:rPr>
          <w:t>www.va.gov/education/yellow-ribbon-participating-schools</w:t>
        </w:r>
      </w:hyperlink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.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1CC4C5DE" w14:textId="77777777" w:rsidR="005838D5" w:rsidRDefault="005838D5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6B88A60D" w14:textId="77777777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</w:p>
    <w:p w14:paraId="048AC60B" w14:textId="205E938D" w:rsidR="001C6680" w:rsidRPr="00C652C8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</w:pP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3. Asking students for military transcripts, including but not limited to the Community College of the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Air Force &amp; Joint Service Transcript, </w:t>
      </w:r>
      <w:r w:rsidR="004D00A9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Defense Language Institute, etc. </w:t>
      </w: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should be a required part of an institution’s admissions process.</w:t>
      </w:r>
      <w:r w:rsidR="002E28A8"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 xml:space="preserve"> </w:t>
      </w:r>
      <w:r w:rsidRPr="00C652C8">
        <w:rPr>
          <w:rFonts w:ascii="SourceSansPro-Regular" w:hAnsi="SourceSansPro-Regular" w:cs="SourceSansPro-Regular"/>
          <w:b/>
          <w:bCs/>
          <w:color w:val="1A1A1A"/>
          <w:sz w:val="24"/>
          <w:szCs w:val="24"/>
        </w:rPr>
        <w:t>However, institutional receipt of those transcripts should not be used to delay an admissions decision.</w:t>
      </w:r>
    </w:p>
    <w:p w14:paraId="3872FB81" w14:textId="23EB0E26" w:rsidR="00BD136F" w:rsidRPr="002D1E0B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</w:pPr>
      <w:r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t>Verify if your institution requires all military transcripts for evaluation purposes.</w:t>
      </w:r>
      <w:r w:rsidR="00BD136F">
        <w:rPr>
          <w:rFonts w:ascii="SourceSansPro-Italic" w:hAnsi="SourceSansPro-Italic" w:cs="SourceSansPro-Italic"/>
          <w:i/>
          <w:iCs/>
          <w:color w:val="000000"/>
          <w:sz w:val="18"/>
          <w:szCs w:val="18"/>
        </w:rPr>
        <w:br/>
      </w:r>
    </w:p>
    <w:p w14:paraId="38CC6258" w14:textId="77777777" w:rsidR="00BD136F" w:rsidRDefault="00BD136F" w:rsidP="001C6680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42225E"/>
          <w:sz w:val="28"/>
          <w:szCs w:val="28"/>
        </w:rPr>
      </w:pPr>
    </w:p>
    <w:p w14:paraId="5E629FE4" w14:textId="77777777" w:rsidR="002D1E0B" w:rsidRDefault="002D1E0B" w:rsidP="001C6680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42225E"/>
          <w:sz w:val="28"/>
          <w:szCs w:val="28"/>
        </w:rPr>
      </w:pPr>
    </w:p>
    <w:p w14:paraId="6FE1BF74" w14:textId="77777777" w:rsidR="002D1E0B" w:rsidRDefault="002D1E0B" w:rsidP="001C6680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42225E"/>
          <w:sz w:val="28"/>
          <w:szCs w:val="28"/>
        </w:rPr>
      </w:pPr>
    </w:p>
    <w:p w14:paraId="762EC98C" w14:textId="77777777" w:rsidR="002D1E0B" w:rsidRDefault="002D1E0B" w:rsidP="001C6680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42225E"/>
          <w:sz w:val="28"/>
          <w:szCs w:val="28"/>
        </w:rPr>
      </w:pPr>
    </w:p>
    <w:p w14:paraId="4F61221F" w14:textId="427AA593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erifaStd-Bold" w:hAnsi="SerifaStd-Bold" w:cs="SerifaStd-Bold"/>
          <w:b/>
          <w:bCs/>
          <w:color w:val="42225E"/>
          <w:sz w:val="28"/>
          <w:szCs w:val="28"/>
        </w:rPr>
      </w:pPr>
      <w:r>
        <w:rPr>
          <w:rFonts w:ascii="SerifaStd-Bold" w:hAnsi="SerifaStd-Bold" w:cs="SerifaStd-Bold"/>
          <w:b/>
          <w:bCs/>
          <w:color w:val="42225E"/>
          <w:sz w:val="28"/>
          <w:szCs w:val="28"/>
        </w:rPr>
        <w:t>President or Provost Electronic Signature</w:t>
      </w:r>
      <w:r w:rsidR="002E28A8">
        <w:rPr>
          <w:rFonts w:ascii="SerifaStd-Bold" w:hAnsi="SerifaStd-Bold" w:cs="SerifaStd-Bold"/>
          <w:b/>
          <w:bCs/>
          <w:color w:val="42225E"/>
          <w:sz w:val="28"/>
          <w:szCs w:val="28"/>
        </w:rPr>
        <w:t>/</w:t>
      </w:r>
      <w:r>
        <w:rPr>
          <w:rFonts w:ascii="SerifaStd-Bold" w:hAnsi="SerifaStd-Bold" w:cs="SerifaStd-Bold"/>
          <w:b/>
          <w:bCs/>
          <w:color w:val="42225E"/>
          <w:sz w:val="28"/>
          <w:szCs w:val="28"/>
        </w:rPr>
        <w:t>Date</w:t>
      </w:r>
    </w:p>
    <w:p w14:paraId="10B9CB61" w14:textId="77777777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</w:p>
    <w:p w14:paraId="3AB0351C" w14:textId="13E5AE3A" w:rsidR="002E28A8" w:rsidRDefault="00673E34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  <w:r>
        <w:rPr>
          <w:rFonts w:ascii="SourceSansPro-Regular" w:hAnsi="SourceSansPro-Regular" w:cs="SourceSansPro-Regular"/>
          <w:color w:val="000000"/>
          <w:sz w:val="24"/>
          <w:szCs w:val="24"/>
        </w:rPr>
        <w:pict w14:anchorId="0518B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40pt;height:120pt">
            <v:imagedata r:id="rId15" o:title=""/>
            <o:lock v:ext="edit" ungrouping="t" rotation="t" cropping="t" verticies="t" text="t" grouping="t"/>
            <o:signatureline v:ext="edit" id="{BFCC83FD-124B-47DD-A574-27087F20D465}" provid="{00000000-0000-0000-0000-000000000000}" issignatureline="t"/>
          </v:shape>
        </w:pict>
      </w:r>
    </w:p>
    <w:p w14:paraId="2DC9460A" w14:textId="77777777" w:rsidR="002E28A8" w:rsidRDefault="002E28A8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24"/>
          <w:szCs w:val="24"/>
        </w:rPr>
      </w:pPr>
    </w:p>
    <w:p w14:paraId="5C66D4D4" w14:textId="14F24838" w:rsidR="001C6680" w:rsidRDefault="001C6680" w:rsidP="001C668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45D7"/>
          <w:sz w:val="24"/>
          <w:szCs w:val="24"/>
        </w:rPr>
      </w:pPr>
      <w:r>
        <w:rPr>
          <w:rFonts w:ascii="SourceSansPro-Regular" w:hAnsi="SourceSansPro-Regular" w:cs="SourceSansPro-Regular"/>
          <w:color w:val="000000"/>
          <w:sz w:val="24"/>
          <w:szCs w:val="24"/>
        </w:rPr>
        <w:t xml:space="preserve">Please email your completed application to </w:t>
      </w:r>
      <w:r>
        <w:rPr>
          <w:rFonts w:ascii="SourceSansPro-Regular" w:hAnsi="SourceSansPro-Regular" w:cs="SourceSansPro-Regular"/>
          <w:color w:val="0045D7"/>
          <w:sz w:val="24"/>
          <w:szCs w:val="24"/>
        </w:rPr>
        <w:t>CollegiatePurpleStar@highered.ohio.gov</w:t>
      </w:r>
    </w:p>
    <w:p w14:paraId="7EBAF6BB" w14:textId="663FB052" w:rsidR="0007077D" w:rsidRDefault="001C6680" w:rsidP="001C6680">
      <w:r>
        <w:rPr>
          <w:rFonts w:ascii="SourceSansPro-Regular" w:hAnsi="SourceSansPro-Regular" w:cs="SourceSansPro-Regular"/>
          <w:color w:val="000000"/>
          <w:sz w:val="24"/>
          <w:szCs w:val="24"/>
        </w:rPr>
        <w:t xml:space="preserve">by the end of day on </w:t>
      </w:r>
      <w:r w:rsidR="005C3B01">
        <w:rPr>
          <w:rFonts w:ascii="SourceSansPro-Bold" w:hAnsi="SourceSansPro-Bold" w:cs="SourceSansPro-Bold"/>
          <w:b/>
          <w:bCs/>
          <w:color w:val="000000"/>
          <w:sz w:val="24"/>
          <w:szCs w:val="24"/>
        </w:rPr>
        <w:t>April</w:t>
      </w:r>
      <w:r w:rsidR="0008665F">
        <w:rPr>
          <w:rFonts w:ascii="SourceSansPro-Bold" w:hAnsi="SourceSansPro-Bold" w:cs="SourceSansPro-Bold"/>
          <w:b/>
          <w:bCs/>
          <w:color w:val="000000"/>
          <w:sz w:val="24"/>
          <w:szCs w:val="24"/>
        </w:rPr>
        <w:t xml:space="preserve"> </w:t>
      </w:r>
      <w:r w:rsidR="005C3B01">
        <w:rPr>
          <w:rFonts w:ascii="SourceSansPro-Bold" w:hAnsi="SourceSansPro-Bold" w:cs="SourceSansPro-Bold"/>
          <w:b/>
          <w:bCs/>
          <w:color w:val="000000"/>
          <w:sz w:val="24"/>
          <w:szCs w:val="24"/>
        </w:rPr>
        <w:t>21st</w:t>
      </w:r>
      <w:r w:rsidR="00F12CD8" w:rsidRPr="00F12CD8">
        <w:rPr>
          <w:rFonts w:ascii="SourceSansPro-Bold" w:hAnsi="SourceSansPro-Bold" w:cs="SourceSansPro-Bold"/>
          <w:b/>
          <w:bCs/>
          <w:color w:val="000000"/>
          <w:sz w:val="24"/>
          <w:szCs w:val="24"/>
        </w:rPr>
        <w:t>, 202</w:t>
      </w:r>
      <w:r w:rsidR="005C3B01">
        <w:rPr>
          <w:rFonts w:ascii="SourceSansPro-Bold" w:hAnsi="SourceSansPro-Bold" w:cs="SourceSansPro-Bold"/>
          <w:b/>
          <w:bCs/>
          <w:color w:val="000000"/>
          <w:sz w:val="24"/>
          <w:szCs w:val="24"/>
        </w:rPr>
        <w:t>5</w:t>
      </w:r>
      <w:r>
        <w:rPr>
          <w:rFonts w:ascii="SourceSansPro-Bold" w:hAnsi="SourceSansPro-Bold" w:cs="SourceSansPro-Bold"/>
          <w:b/>
          <w:bCs/>
          <w:color w:val="000000"/>
          <w:sz w:val="24"/>
          <w:szCs w:val="24"/>
        </w:rPr>
        <w:t>.</w:t>
      </w:r>
    </w:p>
    <w:sectPr w:rsidR="0007077D" w:rsidSect="004709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a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SansPro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6AC1"/>
    <w:multiLevelType w:val="multilevel"/>
    <w:tmpl w:val="8124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706F2"/>
    <w:multiLevelType w:val="hybridMultilevel"/>
    <w:tmpl w:val="E0E41FC4"/>
    <w:lvl w:ilvl="0" w:tplc="2B9A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D62CB"/>
    <w:multiLevelType w:val="hybridMultilevel"/>
    <w:tmpl w:val="910C0BF6"/>
    <w:lvl w:ilvl="0" w:tplc="1BDC1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BF38F2"/>
    <w:multiLevelType w:val="hybridMultilevel"/>
    <w:tmpl w:val="535667B0"/>
    <w:lvl w:ilvl="0" w:tplc="05BAE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1ADD"/>
    <w:multiLevelType w:val="hybridMultilevel"/>
    <w:tmpl w:val="6A907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161C"/>
    <w:multiLevelType w:val="hybridMultilevel"/>
    <w:tmpl w:val="465212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024C6"/>
    <w:multiLevelType w:val="multilevel"/>
    <w:tmpl w:val="E7C64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493344">
    <w:abstractNumId w:val="2"/>
  </w:num>
  <w:num w:numId="2" w16cid:durableId="482088131">
    <w:abstractNumId w:val="1"/>
  </w:num>
  <w:num w:numId="3" w16cid:durableId="1977687335">
    <w:abstractNumId w:val="0"/>
  </w:num>
  <w:num w:numId="4" w16cid:durableId="1985815245">
    <w:abstractNumId w:val="6"/>
  </w:num>
  <w:num w:numId="5" w16cid:durableId="1327516665">
    <w:abstractNumId w:val="4"/>
  </w:num>
  <w:num w:numId="6" w16cid:durableId="1618215915">
    <w:abstractNumId w:val="3"/>
  </w:num>
  <w:num w:numId="7" w16cid:durableId="274480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0"/>
    <w:rsid w:val="0007077D"/>
    <w:rsid w:val="0008665F"/>
    <w:rsid w:val="000D11A7"/>
    <w:rsid w:val="0012089D"/>
    <w:rsid w:val="001512BB"/>
    <w:rsid w:val="001C6680"/>
    <w:rsid w:val="001F00BD"/>
    <w:rsid w:val="00207F4A"/>
    <w:rsid w:val="0022231A"/>
    <w:rsid w:val="00224D72"/>
    <w:rsid w:val="00247970"/>
    <w:rsid w:val="00261013"/>
    <w:rsid w:val="00295831"/>
    <w:rsid w:val="002D1E0B"/>
    <w:rsid w:val="002E28A8"/>
    <w:rsid w:val="003364EB"/>
    <w:rsid w:val="00365500"/>
    <w:rsid w:val="0037075B"/>
    <w:rsid w:val="0038503C"/>
    <w:rsid w:val="003D2804"/>
    <w:rsid w:val="003F21C2"/>
    <w:rsid w:val="00401A6D"/>
    <w:rsid w:val="00422746"/>
    <w:rsid w:val="00457DB6"/>
    <w:rsid w:val="0047098D"/>
    <w:rsid w:val="004D00A9"/>
    <w:rsid w:val="004D48E0"/>
    <w:rsid w:val="004F662F"/>
    <w:rsid w:val="00565142"/>
    <w:rsid w:val="005838D5"/>
    <w:rsid w:val="005C3B01"/>
    <w:rsid w:val="005C3E8A"/>
    <w:rsid w:val="005C77DA"/>
    <w:rsid w:val="005F7BC0"/>
    <w:rsid w:val="00673E34"/>
    <w:rsid w:val="006B0445"/>
    <w:rsid w:val="006E3BFF"/>
    <w:rsid w:val="00712142"/>
    <w:rsid w:val="00727D08"/>
    <w:rsid w:val="00753F0F"/>
    <w:rsid w:val="009310BB"/>
    <w:rsid w:val="009336DA"/>
    <w:rsid w:val="00972040"/>
    <w:rsid w:val="009A77DE"/>
    <w:rsid w:val="009B0A67"/>
    <w:rsid w:val="00A348A7"/>
    <w:rsid w:val="00A95879"/>
    <w:rsid w:val="00B85F3E"/>
    <w:rsid w:val="00BB0342"/>
    <w:rsid w:val="00BC1CF3"/>
    <w:rsid w:val="00BD136F"/>
    <w:rsid w:val="00BD75AF"/>
    <w:rsid w:val="00C418B4"/>
    <w:rsid w:val="00C61D7E"/>
    <w:rsid w:val="00C63AB3"/>
    <w:rsid w:val="00C652C8"/>
    <w:rsid w:val="00D207FD"/>
    <w:rsid w:val="00D9654D"/>
    <w:rsid w:val="00F12CD8"/>
    <w:rsid w:val="00F16076"/>
    <w:rsid w:val="00F20D80"/>
    <w:rsid w:val="00F3129E"/>
    <w:rsid w:val="00FC175A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3327"/>
  <w15:chartTrackingRefBased/>
  <w15:docId w15:val="{93161740-A851-4172-AD51-B43B14A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6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6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342"/>
    <w:pPr>
      <w:ind w:left="720"/>
      <w:contextualSpacing/>
    </w:pPr>
  </w:style>
  <w:style w:type="paragraph" w:styleId="Revision">
    <w:name w:val="Revision"/>
    <w:hidden/>
    <w:uiPriority w:val="99"/>
    <w:semiHidden/>
    <w:rsid w:val="001F00B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512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D1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ohio.gov/initiatives/campus-initiatives/education-for-veterans/vet-services-ohio-campuses" TargetMode="External"/><Relationship Id="rId13" Type="http://schemas.openxmlformats.org/officeDocument/2006/relationships/hyperlink" Target="http://www.dodmou.com/Home/InstitutionLi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legiatePurpleStar@highered.ohio.gov" TargetMode="External"/><Relationship Id="rId12" Type="http://schemas.openxmlformats.org/officeDocument/2006/relationships/hyperlink" Target="https://gcc02.safelinks.protection.outlook.com/?url=https%3A%2F%2Fdvs.ohio.gov%2Fjobs-and-education%2Fstate-approving-agency&amp;data=05%7C02%7CJShank%40highered.ohio.gov%7C42e58cee304049e0b4e108dcf82150f7%7C50f8fcc494d84f0784eb36ed57c7c8a2%7C0%7C0%7C638658069189515993%7CUnknown%7CTWFpbGZsb3d8eyJWIjoiMC4wLjAwMDAiLCJQIjoiV2luMzIiLCJBTiI6Ik1haWwiLCJXVCI6Mn0%3D%7C0%7C%7C%7C&amp;sdata=1BfX6%2BSSjmISagLZ1eT83rWUw6l47S346AaQuK1Gz0M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OhioSAA@dvs.ohio.gov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emf"/><Relationship Id="rId10" Type="http://schemas.openxmlformats.org/officeDocument/2006/relationships/hyperlink" Target="https://education.ohio.gov/Topics/Other-Resources/Military-Resources/Schools/Purple-Star-Aw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ghered.ohio.gov/initiatives/campus-initiatives/education-for-veterans/vet-services-ohio-campuses" TargetMode="External"/><Relationship Id="rId14" Type="http://schemas.openxmlformats.org/officeDocument/2006/relationships/hyperlink" Target="http://www.va.gov/education/yellow-ribbon-participating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Shank, Jared</dc:creator>
  <cp:keywords/>
  <dc:description/>
  <cp:lastModifiedBy>Joel Husenits</cp:lastModifiedBy>
  <cp:revision>30</cp:revision>
  <dcterms:created xsi:type="dcterms:W3CDTF">2024-03-04T14:39:00Z</dcterms:created>
  <dcterms:modified xsi:type="dcterms:W3CDTF">2025-03-10T17:17:00Z</dcterms:modified>
</cp:coreProperties>
</file>