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6ECEE" w14:textId="5EF9D6B9" w:rsidR="005A599D" w:rsidRDefault="005A599D" w:rsidP="005A599D">
      <w:pPr>
        <w:autoSpaceDE w:val="0"/>
        <w:autoSpaceDN w:val="0"/>
        <w:adjustRightInd w:val="0"/>
        <w:spacing w:after="0" w:line="240" w:lineRule="auto"/>
        <w:rPr>
          <w:rFonts w:ascii="TrebuchetMS-Bold" w:hAnsi="TrebuchetMS-Bold" w:cs="TrebuchetMS-Bold"/>
          <w:b/>
          <w:bCs/>
        </w:rPr>
      </w:pPr>
      <w:r>
        <w:rPr>
          <w:rFonts w:ascii="TrebuchetMS-Bold" w:hAnsi="TrebuchetMS-Bold" w:cs="TrebuchetMS-Bold"/>
          <w:b/>
          <w:bCs/>
        </w:rPr>
        <w:t xml:space="preserve">FOR IMMEDIATE RELEASE: </w:t>
      </w:r>
      <w:r w:rsidR="00D76E00">
        <w:rPr>
          <w:rFonts w:ascii="TrebuchetMS-Bold" w:hAnsi="TrebuchetMS-Bold" w:cs="TrebuchetMS-Bold"/>
          <w:b/>
          <w:bCs/>
        </w:rPr>
        <w:t>April 15,</w:t>
      </w:r>
      <w:r w:rsidR="00BA2A88">
        <w:rPr>
          <w:rFonts w:ascii="TrebuchetMS-Bold" w:hAnsi="TrebuchetMS-Bold" w:cs="TrebuchetMS-Bold"/>
          <w:b/>
          <w:bCs/>
        </w:rPr>
        <w:t xml:space="preserve"> 202</w:t>
      </w:r>
      <w:r w:rsidR="00D76E00">
        <w:rPr>
          <w:rFonts w:ascii="TrebuchetMS-Bold" w:hAnsi="TrebuchetMS-Bold" w:cs="TrebuchetMS-Bold"/>
          <w:b/>
          <w:bCs/>
        </w:rPr>
        <w:t>4</w:t>
      </w:r>
    </w:p>
    <w:p w14:paraId="27DC3609" w14:textId="77777777" w:rsidR="005A599D" w:rsidRDefault="005A599D" w:rsidP="005A599D">
      <w:pPr>
        <w:autoSpaceDE w:val="0"/>
        <w:autoSpaceDN w:val="0"/>
        <w:adjustRightInd w:val="0"/>
        <w:spacing w:after="0" w:line="240" w:lineRule="auto"/>
        <w:rPr>
          <w:rFonts w:ascii="TrebuchetMS-Bold" w:hAnsi="TrebuchetMS-Bold" w:cs="TrebuchetMS-Bold"/>
          <w:b/>
          <w:bCs/>
        </w:rPr>
      </w:pPr>
      <w:r>
        <w:rPr>
          <w:rFonts w:ascii="TrebuchetMS-Bold" w:hAnsi="TrebuchetMS-Bold" w:cs="TrebuchetMS-Bold"/>
          <w:b/>
          <w:bCs/>
        </w:rPr>
        <w:t>CONTACT: Judy Converse</w:t>
      </w:r>
    </w:p>
    <w:p w14:paraId="4611CD5D" w14:textId="77777777" w:rsidR="005A599D" w:rsidRDefault="005A599D" w:rsidP="005A599D">
      <w:pPr>
        <w:autoSpaceDE w:val="0"/>
        <w:autoSpaceDN w:val="0"/>
        <w:adjustRightInd w:val="0"/>
        <w:spacing w:after="0" w:line="240" w:lineRule="auto"/>
        <w:rPr>
          <w:rFonts w:ascii="TrebuchetMS-Bold" w:hAnsi="TrebuchetMS-Bold" w:cs="TrebuchetMS-Bold"/>
          <w:b/>
          <w:bCs/>
        </w:rPr>
      </w:pPr>
      <w:r>
        <w:rPr>
          <w:rFonts w:ascii="TrebuchetMS-Bold" w:hAnsi="TrebuchetMS-Bold" w:cs="TrebuchetMS-Bold"/>
          <w:b/>
          <w:bCs/>
        </w:rPr>
        <w:t>Public Information Officer, Ohio Traffic Safety Office</w:t>
      </w:r>
    </w:p>
    <w:p w14:paraId="34003750" w14:textId="058A4F81" w:rsidR="005A599D" w:rsidRDefault="005A599D" w:rsidP="005A599D">
      <w:pPr>
        <w:autoSpaceDE w:val="0"/>
        <w:autoSpaceDN w:val="0"/>
        <w:adjustRightInd w:val="0"/>
        <w:spacing w:after="0" w:line="240" w:lineRule="auto"/>
        <w:rPr>
          <w:rFonts w:ascii="TrebuchetMS-Bold" w:hAnsi="TrebuchetMS-Bold" w:cs="TrebuchetMS-Bold"/>
          <w:b/>
          <w:bCs/>
        </w:rPr>
      </w:pPr>
      <w:r>
        <w:rPr>
          <w:rFonts w:ascii="TrebuchetMS-Bold" w:hAnsi="TrebuchetMS-Bold" w:cs="TrebuchetMS-Bold"/>
          <w:b/>
          <w:bCs/>
        </w:rPr>
        <w:t>(614) 644-6052</w:t>
      </w:r>
      <w:r w:rsidR="00D76E00">
        <w:rPr>
          <w:rFonts w:ascii="TrebuchetMS-Bold" w:hAnsi="TrebuchetMS-Bold" w:cs="TrebuchetMS-Bold"/>
          <w:b/>
          <w:bCs/>
        </w:rPr>
        <w:t xml:space="preserve"> – office</w:t>
      </w:r>
    </w:p>
    <w:p w14:paraId="55E8AEFA" w14:textId="56080F65" w:rsidR="00D76E00" w:rsidRDefault="00D76E00" w:rsidP="005A599D">
      <w:pPr>
        <w:autoSpaceDE w:val="0"/>
        <w:autoSpaceDN w:val="0"/>
        <w:adjustRightInd w:val="0"/>
        <w:spacing w:after="0" w:line="240" w:lineRule="auto"/>
        <w:rPr>
          <w:rFonts w:ascii="TrebuchetMS-Bold" w:hAnsi="TrebuchetMS-Bold" w:cs="TrebuchetMS-Bold"/>
          <w:b/>
          <w:bCs/>
        </w:rPr>
      </w:pPr>
      <w:r>
        <w:rPr>
          <w:rFonts w:ascii="TrebuchetMS-Bold" w:hAnsi="TrebuchetMS-Bold" w:cs="TrebuchetMS-Bold"/>
          <w:b/>
          <w:bCs/>
        </w:rPr>
        <w:t>(614) 981-1751 - mobile</w:t>
      </w:r>
    </w:p>
    <w:p w14:paraId="0756B954" w14:textId="77777777" w:rsidR="005A599D" w:rsidRDefault="00BD2B2A" w:rsidP="005A599D">
      <w:pPr>
        <w:rPr>
          <w:rFonts w:ascii="TrebuchetMS-Bold" w:hAnsi="TrebuchetMS-Bold" w:cs="TrebuchetMS-Bold"/>
          <w:b/>
          <w:bCs/>
        </w:rPr>
      </w:pPr>
      <w:hyperlink r:id="rId5" w:history="1">
        <w:r w:rsidR="005A599D">
          <w:rPr>
            <w:rStyle w:val="Hyperlink"/>
            <w:rFonts w:ascii="TrebuchetMS-Bold" w:hAnsi="TrebuchetMS-Bold" w:cs="TrebuchetMS-Bold"/>
            <w:b/>
            <w:bCs/>
          </w:rPr>
          <w:t>jlconverse@dps.ohio.gov</w:t>
        </w:r>
      </w:hyperlink>
    </w:p>
    <w:p w14:paraId="25108703" w14:textId="77777777" w:rsidR="005A599D" w:rsidRDefault="005A599D" w:rsidP="005A599D">
      <w:pPr>
        <w:rPr>
          <w:rFonts w:ascii="TrebuchetMS-Bold" w:hAnsi="TrebuchetMS-Bold" w:cs="TrebuchetMS-Bold"/>
          <w:b/>
          <w:bCs/>
          <w:sz w:val="24"/>
          <w:szCs w:val="24"/>
        </w:rPr>
      </w:pPr>
    </w:p>
    <w:p w14:paraId="06183A1C" w14:textId="2F4CCB3E" w:rsidR="005A599D" w:rsidRDefault="00D619DF" w:rsidP="005A599D">
      <w:pPr>
        <w:jc w:val="center"/>
        <w:rPr>
          <w:rFonts w:ascii="TrebuchetMS-Bold" w:hAnsi="TrebuchetMS-Bold" w:cs="TrebuchetMS-Bold"/>
          <w:b/>
          <w:bCs/>
          <w:sz w:val="24"/>
          <w:szCs w:val="24"/>
        </w:rPr>
      </w:pPr>
      <w:r>
        <w:rPr>
          <w:rFonts w:ascii="TrebuchetMS-Bold" w:hAnsi="TrebuchetMS-Bold" w:cs="TrebuchetMS-Bold"/>
          <w:b/>
          <w:bCs/>
          <w:sz w:val="24"/>
          <w:szCs w:val="24"/>
        </w:rPr>
        <w:t>Governor DeWine</w:t>
      </w:r>
      <w:r w:rsidR="00BA2A88">
        <w:rPr>
          <w:rFonts w:ascii="TrebuchetMS-Bold" w:hAnsi="TrebuchetMS-Bold" w:cs="TrebuchetMS-Bold"/>
          <w:b/>
          <w:bCs/>
          <w:sz w:val="24"/>
          <w:szCs w:val="24"/>
        </w:rPr>
        <w:t xml:space="preserve"> Announces </w:t>
      </w:r>
      <w:r w:rsidR="00BD2B2A">
        <w:rPr>
          <w:rFonts w:ascii="TrebuchetMS-Bold" w:hAnsi="TrebuchetMS-Bold" w:cs="TrebuchetMS-Bold"/>
          <w:b/>
          <w:bCs/>
          <w:sz w:val="24"/>
          <w:szCs w:val="24"/>
        </w:rPr>
        <w:t xml:space="preserve">Nearly </w:t>
      </w:r>
      <w:r w:rsidR="00D76E00">
        <w:rPr>
          <w:rFonts w:ascii="TrebuchetMS-Bold" w:hAnsi="TrebuchetMS-Bold" w:cs="TrebuchetMS-Bold"/>
          <w:b/>
          <w:bCs/>
          <w:sz w:val="24"/>
          <w:szCs w:val="24"/>
        </w:rPr>
        <w:t>$2.5 Million</w:t>
      </w:r>
      <w:r w:rsidR="00BA2A88">
        <w:rPr>
          <w:rFonts w:ascii="TrebuchetMS-Bold" w:hAnsi="TrebuchetMS-Bold" w:cs="TrebuchetMS-Bold"/>
          <w:b/>
          <w:bCs/>
          <w:sz w:val="24"/>
          <w:szCs w:val="24"/>
        </w:rPr>
        <w:t xml:space="preserve"> </w:t>
      </w:r>
      <w:r w:rsidR="006C4610">
        <w:rPr>
          <w:rFonts w:ascii="TrebuchetMS-Bold" w:hAnsi="TrebuchetMS-Bold" w:cs="TrebuchetMS-Bold"/>
          <w:b/>
          <w:bCs/>
          <w:sz w:val="24"/>
          <w:szCs w:val="24"/>
        </w:rPr>
        <w:t>for Teen</w:t>
      </w:r>
      <w:r>
        <w:rPr>
          <w:rFonts w:ascii="TrebuchetMS-Bold" w:hAnsi="TrebuchetMS-Bold" w:cs="TrebuchetMS-Bold"/>
          <w:b/>
          <w:bCs/>
          <w:sz w:val="24"/>
          <w:szCs w:val="24"/>
        </w:rPr>
        <w:t xml:space="preserve"> Driver Training</w:t>
      </w:r>
      <w:r w:rsidR="006C4610">
        <w:rPr>
          <w:rFonts w:ascii="TrebuchetMS-Bold" w:hAnsi="TrebuchetMS-Bold" w:cs="TrebuchetMS-Bold"/>
          <w:b/>
          <w:bCs/>
          <w:sz w:val="24"/>
          <w:szCs w:val="24"/>
        </w:rPr>
        <w:t xml:space="preserve"> Scholarships</w:t>
      </w:r>
    </w:p>
    <w:p w14:paraId="6F009104" w14:textId="00F2830C" w:rsidR="00C66001" w:rsidRDefault="005A599D" w:rsidP="005A599D">
      <w:pPr>
        <w:rPr>
          <w:rFonts w:cstheme="minorHAnsi"/>
          <w:sz w:val="24"/>
          <w:szCs w:val="24"/>
        </w:rPr>
      </w:pPr>
      <w:r>
        <w:rPr>
          <w:rFonts w:cstheme="minorHAnsi"/>
          <w:sz w:val="24"/>
          <w:szCs w:val="24"/>
        </w:rPr>
        <w:t>(COLUMBUS, Ohio)</w:t>
      </w:r>
      <w:r w:rsidR="00AA2419">
        <w:rPr>
          <w:rFonts w:cstheme="minorHAnsi"/>
          <w:sz w:val="24"/>
          <w:szCs w:val="24"/>
        </w:rPr>
        <w:t xml:space="preserve"> – </w:t>
      </w:r>
      <w:r w:rsidR="00A55208">
        <w:rPr>
          <w:rFonts w:cstheme="minorHAnsi"/>
          <w:sz w:val="24"/>
          <w:szCs w:val="24"/>
        </w:rPr>
        <w:t>Ohio Governor Mike DeWine announced today $</w:t>
      </w:r>
      <w:r w:rsidR="00D76E00">
        <w:rPr>
          <w:rFonts w:cstheme="minorHAnsi"/>
          <w:sz w:val="24"/>
          <w:szCs w:val="24"/>
        </w:rPr>
        <w:t xml:space="preserve">2.5 Million </w:t>
      </w:r>
      <w:r w:rsidR="00A55208">
        <w:rPr>
          <w:rFonts w:cstheme="minorHAnsi"/>
          <w:sz w:val="24"/>
          <w:szCs w:val="24"/>
        </w:rPr>
        <w:t>in</w:t>
      </w:r>
      <w:r w:rsidR="00BA2A88">
        <w:rPr>
          <w:rFonts w:cstheme="minorHAnsi"/>
          <w:sz w:val="24"/>
          <w:szCs w:val="24"/>
        </w:rPr>
        <w:t xml:space="preserve"> grants </w:t>
      </w:r>
      <w:r w:rsidR="00BD2B2A">
        <w:rPr>
          <w:rFonts w:cstheme="minorHAnsi"/>
          <w:sz w:val="24"/>
          <w:szCs w:val="24"/>
        </w:rPr>
        <w:t>to expand</w:t>
      </w:r>
      <w:r w:rsidR="00BA2A88">
        <w:rPr>
          <w:rFonts w:cstheme="minorHAnsi"/>
          <w:sz w:val="24"/>
          <w:szCs w:val="24"/>
        </w:rPr>
        <w:t xml:space="preserve"> access to teen driver training for low-income Ohio families.</w:t>
      </w:r>
    </w:p>
    <w:p w14:paraId="5416A1AD" w14:textId="6681A3C3" w:rsidR="00BA2A88" w:rsidRDefault="00DA6AB6" w:rsidP="005A599D">
      <w:pPr>
        <w:rPr>
          <w:rFonts w:cstheme="minorHAnsi"/>
          <w:sz w:val="24"/>
          <w:szCs w:val="24"/>
        </w:rPr>
      </w:pPr>
      <w:r>
        <w:rPr>
          <w:rFonts w:cstheme="minorHAnsi"/>
          <w:sz w:val="24"/>
          <w:szCs w:val="24"/>
        </w:rPr>
        <w:t>T</w:t>
      </w:r>
      <w:r w:rsidR="00A9548E">
        <w:rPr>
          <w:rFonts w:cstheme="minorHAnsi"/>
          <w:sz w:val="24"/>
          <w:szCs w:val="24"/>
        </w:rPr>
        <w:t>hirty</w:t>
      </w:r>
      <w:r>
        <w:rPr>
          <w:rFonts w:cstheme="minorHAnsi"/>
          <w:sz w:val="24"/>
          <w:szCs w:val="24"/>
        </w:rPr>
        <w:t>-five</w:t>
      </w:r>
      <w:r w:rsidR="0060309C">
        <w:rPr>
          <w:rFonts w:cstheme="minorHAnsi"/>
          <w:sz w:val="24"/>
          <w:szCs w:val="24"/>
        </w:rPr>
        <w:t xml:space="preserve"> </w:t>
      </w:r>
      <w:r>
        <w:rPr>
          <w:rFonts w:cstheme="minorHAnsi"/>
          <w:sz w:val="24"/>
          <w:szCs w:val="24"/>
        </w:rPr>
        <w:t xml:space="preserve">local </w:t>
      </w:r>
      <w:r w:rsidR="00BD2B2A">
        <w:rPr>
          <w:rFonts w:cstheme="minorHAnsi"/>
          <w:sz w:val="24"/>
          <w:szCs w:val="24"/>
        </w:rPr>
        <w:t xml:space="preserve">school districts and </w:t>
      </w:r>
      <w:r>
        <w:rPr>
          <w:rFonts w:cstheme="minorHAnsi"/>
          <w:sz w:val="24"/>
          <w:szCs w:val="24"/>
        </w:rPr>
        <w:t xml:space="preserve">governmental agencies will receive </w:t>
      </w:r>
      <w:r w:rsidR="00A9548E">
        <w:rPr>
          <w:rFonts w:cstheme="minorHAnsi"/>
          <w:sz w:val="24"/>
          <w:szCs w:val="24"/>
        </w:rPr>
        <w:t xml:space="preserve">grants </w:t>
      </w:r>
      <w:r w:rsidR="00BD2B2A">
        <w:rPr>
          <w:rFonts w:cstheme="minorHAnsi"/>
          <w:sz w:val="24"/>
          <w:szCs w:val="24"/>
        </w:rPr>
        <w:t>totaling</w:t>
      </w:r>
      <w:r>
        <w:rPr>
          <w:rFonts w:cstheme="minorHAnsi"/>
          <w:sz w:val="24"/>
          <w:szCs w:val="24"/>
        </w:rPr>
        <w:t xml:space="preserve"> </w:t>
      </w:r>
      <w:r w:rsidR="00D619DF">
        <w:rPr>
          <w:rFonts w:cstheme="minorHAnsi"/>
          <w:sz w:val="24"/>
          <w:szCs w:val="24"/>
        </w:rPr>
        <w:t>$</w:t>
      </w:r>
      <w:r w:rsidR="00A9548E">
        <w:rPr>
          <w:rFonts w:cstheme="minorHAnsi"/>
          <w:sz w:val="24"/>
          <w:szCs w:val="24"/>
        </w:rPr>
        <w:t xml:space="preserve">2,495,655 </w:t>
      </w:r>
      <w:r w:rsidR="002E376D">
        <w:rPr>
          <w:rFonts w:cstheme="minorHAnsi"/>
          <w:sz w:val="24"/>
          <w:szCs w:val="24"/>
        </w:rPr>
        <w:t xml:space="preserve">from the </w:t>
      </w:r>
      <w:r w:rsidR="00BD2B2A">
        <w:rPr>
          <w:rFonts w:cstheme="minorHAnsi"/>
          <w:sz w:val="24"/>
          <w:szCs w:val="24"/>
        </w:rPr>
        <w:t>Drive to Succeed Scholarship Program. Funding awarded through the program is used</w:t>
      </w:r>
      <w:r w:rsidR="00BD2B2A">
        <w:rPr>
          <w:rFonts w:cstheme="minorHAnsi"/>
          <w:sz w:val="24"/>
          <w:szCs w:val="24"/>
        </w:rPr>
        <w:t xml:space="preserve"> to provide driver training scholarships to eligible teenage drivers across Ohio.</w:t>
      </w:r>
      <w:r w:rsidR="00BD2B2A">
        <w:rPr>
          <w:rFonts w:cstheme="minorHAnsi"/>
          <w:sz w:val="24"/>
          <w:szCs w:val="24"/>
        </w:rPr>
        <w:t xml:space="preserve"> </w:t>
      </w:r>
    </w:p>
    <w:p w14:paraId="16746A0D" w14:textId="48A71339" w:rsidR="00BD2B2A" w:rsidRDefault="00BD2B2A" w:rsidP="005A599D">
      <w:pPr>
        <w:rPr>
          <w:rFonts w:cstheme="minorHAnsi"/>
          <w:sz w:val="24"/>
          <w:szCs w:val="24"/>
        </w:rPr>
      </w:pPr>
      <w:r>
        <w:rPr>
          <w:rFonts w:cstheme="minorHAnsi"/>
          <w:sz w:val="24"/>
          <w:szCs w:val="24"/>
        </w:rPr>
        <w:t>Governor DeWine launched the scholarship program in 2022 to support teenage drivers whose families cannot otherwise afford the cost of a driving school. The funding</w:t>
      </w:r>
      <w:r>
        <w:rPr>
          <w:rFonts w:cstheme="minorHAnsi"/>
          <w:sz w:val="24"/>
          <w:szCs w:val="24"/>
        </w:rPr>
        <w:t xml:space="preserve"> is expected to provide driver training scholarships to a</w:t>
      </w:r>
      <w:r>
        <w:rPr>
          <w:rFonts w:cstheme="minorHAnsi"/>
          <w:sz w:val="24"/>
          <w:szCs w:val="24"/>
        </w:rPr>
        <w:t>pproximately</w:t>
      </w:r>
      <w:r>
        <w:rPr>
          <w:rFonts w:cstheme="minorHAnsi"/>
          <w:sz w:val="24"/>
          <w:szCs w:val="24"/>
        </w:rPr>
        <w:t xml:space="preserve"> 5,500 Ohio students living in 43 counties</w:t>
      </w:r>
      <w:r>
        <w:rPr>
          <w:rFonts w:cstheme="minorHAnsi"/>
          <w:sz w:val="24"/>
          <w:szCs w:val="24"/>
        </w:rPr>
        <w:t>.</w:t>
      </w:r>
    </w:p>
    <w:p w14:paraId="755536EA" w14:textId="0CAAACAE" w:rsidR="002D6A5D" w:rsidRDefault="00BD2B2A" w:rsidP="005A599D">
      <w:pPr>
        <w:rPr>
          <w:rFonts w:cstheme="minorHAnsi"/>
          <w:sz w:val="24"/>
          <w:szCs w:val="24"/>
        </w:rPr>
      </w:pPr>
      <w:r>
        <w:rPr>
          <w:rFonts w:cstheme="minorHAnsi"/>
          <w:sz w:val="24"/>
          <w:szCs w:val="24"/>
        </w:rPr>
        <w:t>This is the second round of funding offered through the scholarship program, which is administered by the Ohio Traffic Safety office (OTSO).</w:t>
      </w:r>
    </w:p>
    <w:p w14:paraId="59F54C2D" w14:textId="7932FDFE" w:rsidR="002D6A5D" w:rsidRDefault="002D6A5D" w:rsidP="005A599D">
      <w:pPr>
        <w:rPr>
          <w:rFonts w:cstheme="minorHAnsi"/>
          <w:sz w:val="24"/>
          <w:szCs w:val="24"/>
        </w:rPr>
      </w:pPr>
      <w:r>
        <w:rPr>
          <w:rFonts w:cstheme="minorHAnsi"/>
          <w:sz w:val="24"/>
          <w:szCs w:val="24"/>
        </w:rPr>
        <w:t>“</w:t>
      </w:r>
      <w:r w:rsidR="00EB71A2">
        <w:rPr>
          <w:rFonts w:cstheme="minorHAnsi"/>
          <w:sz w:val="24"/>
          <w:szCs w:val="24"/>
        </w:rPr>
        <w:t xml:space="preserve">This program is already helping hundreds of teens </w:t>
      </w:r>
      <w:r w:rsidR="00BD2B2A">
        <w:rPr>
          <w:rFonts w:cstheme="minorHAnsi"/>
          <w:sz w:val="24"/>
          <w:szCs w:val="24"/>
        </w:rPr>
        <w:t>learn skills to be</w:t>
      </w:r>
      <w:r w:rsidR="00EB71A2">
        <w:rPr>
          <w:rFonts w:cstheme="minorHAnsi"/>
          <w:sz w:val="24"/>
          <w:szCs w:val="24"/>
        </w:rPr>
        <w:t xml:space="preserve"> safer drivers</w:t>
      </w:r>
      <w:r w:rsidR="00BD2B2A">
        <w:rPr>
          <w:rFonts w:cstheme="minorHAnsi"/>
          <w:sz w:val="24"/>
          <w:szCs w:val="24"/>
        </w:rPr>
        <w:t xml:space="preserve">, </w:t>
      </w:r>
      <w:r w:rsidR="0072001E">
        <w:rPr>
          <w:rFonts w:cstheme="minorHAnsi"/>
          <w:sz w:val="24"/>
          <w:szCs w:val="24"/>
        </w:rPr>
        <w:t xml:space="preserve">and we are </w:t>
      </w:r>
      <w:r w:rsidR="00BD2B2A">
        <w:rPr>
          <w:rFonts w:cstheme="minorHAnsi"/>
          <w:sz w:val="24"/>
          <w:szCs w:val="24"/>
        </w:rPr>
        <w:t>happy</w:t>
      </w:r>
      <w:r w:rsidR="0072001E">
        <w:rPr>
          <w:rFonts w:cstheme="minorHAnsi"/>
          <w:sz w:val="24"/>
          <w:szCs w:val="24"/>
        </w:rPr>
        <w:t xml:space="preserve"> to help even more </w:t>
      </w:r>
      <w:r w:rsidR="00144ABF">
        <w:rPr>
          <w:rFonts w:cstheme="minorHAnsi"/>
          <w:sz w:val="24"/>
          <w:szCs w:val="24"/>
        </w:rPr>
        <w:t>young people</w:t>
      </w:r>
      <w:r w:rsidR="0072001E">
        <w:rPr>
          <w:rFonts w:cstheme="minorHAnsi"/>
          <w:sz w:val="24"/>
          <w:szCs w:val="24"/>
        </w:rPr>
        <w:t xml:space="preserve"> </w:t>
      </w:r>
      <w:r w:rsidR="00BD2B2A">
        <w:rPr>
          <w:rFonts w:cstheme="minorHAnsi"/>
          <w:sz w:val="24"/>
          <w:szCs w:val="24"/>
        </w:rPr>
        <w:t>receive</w:t>
      </w:r>
      <w:r w:rsidR="00144ABF">
        <w:rPr>
          <w:rFonts w:cstheme="minorHAnsi"/>
          <w:sz w:val="24"/>
          <w:szCs w:val="24"/>
        </w:rPr>
        <w:t xml:space="preserve"> </w:t>
      </w:r>
      <w:r w:rsidR="0072001E">
        <w:rPr>
          <w:rFonts w:cstheme="minorHAnsi"/>
          <w:sz w:val="24"/>
          <w:szCs w:val="24"/>
        </w:rPr>
        <w:t>driver training</w:t>
      </w:r>
      <w:r>
        <w:rPr>
          <w:rFonts w:cstheme="minorHAnsi"/>
          <w:sz w:val="24"/>
          <w:szCs w:val="24"/>
        </w:rPr>
        <w:t xml:space="preserve">,” said </w:t>
      </w:r>
      <w:r w:rsidR="00D619DF">
        <w:rPr>
          <w:rFonts w:cstheme="minorHAnsi"/>
          <w:sz w:val="24"/>
          <w:szCs w:val="24"/>
        </w:rPr>
        <w:t>Governor DeWine</w:t>
      </w:r>
      <w:r>
        <w:rPr>
          <w:rFonts w:cstheme="minorHAnsi"/>
          <w:sz w:val="24"/>
          <w:szCs w:val="24"/>
        </w:rPr>
        <w:t>. “</w:t>
      </w:r>
      <w:r w:rsidR="0072001E">
        <w:rPr>
          <w:rFonts w:cstheme="minorHAnsi"/>
          <w:sz w:val="24"/>
          <w:szCs w:val="24"/>
        </w:rPr>
        <w:t xml:space="preserve">When young drivers </w:t>
      </w:r>
      <w:r w:rsidR="00BD2B2A">
        <w:rPr>
          <w:rFonts w:cstheme="minorHAnsi"/>
          <w:sz w:val="24"/>
          <w:szCs w:val="24"/>
        </w:rPr>
        <w:t>know the strategies to stay safe on the roads, the roads are safer for everyone.”</w:t>
      </w:r>
    </w:p>
    <w:p w14:paraId="1370CA26" w14:textId="79022ADF" w:rsidR="00BE4BBF" w:rsidRDefault="00BE4BBF" w:rsidP="005A599D">
      <w:pPr>
        <w:rPr>
          <w:rFonts w:cstheme="minorHAnsi"/>
          <w:sz w:val="24"/>
          <w:szCs w:val="24"/>
        </w:rPr>
      </w:pPr>
      <w:r>
        <w:rPr>
          <w:rFonts w:cstheme="minorHAnsi"/>
          <w:sz w:val="24"/>
          <w:szCs w:val="24"/>
        </w:rPr>
        <w:t xml:space="preserve">The following agencies will receive grants in the </w:t>
      </w:r>
      <w:r w:rsidR="0072001E">
        <w:rPr>
          <w:rFonts w:cstheme="minorHAnsi"/>
          <w:sz w:val="24"/>
          <w:szCs w:val="24"/>
        </w:rPr>
        <w:t>latest</w:t>
      </w:r>
      <w:r>
        <w:rPr>
          <w:rFonts w:cstheme="minorHAnsi"/>
          <w:sz w:val="24"/>
          <w:szCs w:val="24"/>
        </w:rPr>
        <w:t xml:space="preserve"> round of</w:t>
      </w:r>
      <w:r w:rsidR="00D76E00">
        <w:rPr>
          <w:rFonts w:cstheme="minorHAnsi"/>
          <w:sz w:val="24"/>
          <w:szCs w:val="24"/>
        </w:rPr>
        <w:t xml:space="preserve"> awards:</w:t>
      </w:r>
    </w:p>
    <w:tbl>
      <w:tblPr>
        <w:tblStyle w:val="TableGrid"/>
        <w:tblW w:w="0" w:type="auto"/>
        <w:tblLook w:val="04A0" w:firstRow="1" w:lastRow="0" w:firstColumn="1" w:lastColumn="0" w:noHBand="0" w:noVBand="1"/>
      </w:tblPr>
      <w:tblGrid>
        <w:gridCol w:w="4135"/>
        <w:gridCol w:w="3150"/>
        <w:gridCol w:w="2065"/>
      </w:tblGrid>
      <w:tr w:rsidR="00BE4BBF" w14:paraId="6A214183" w14:textId="77777777" w:rsidTr="006B45DA">
        <w:tc>
          <w:tcPr>
            <w:tcW w:w="4135" w:type="dxa"/>
          </w:tcPr>
          <w:p w14:paraId="64099754" w14:textId="5B4D9D4E" w:rsidR="00BE4BBF" w:rsidRPr="00D822A4" w:rsidRDefault="00BE4BBF" w:rsidP="00BE4BBF">
            <w:pPr>
              <w:jc w:val="center"/>
              <w:rPr>
                <w:rFonts w:cstheme="minorHAnsi"/>
                <w:b/>
                <w:bCs/>
                <w:sz w:val="24"/>
                <w:szCs w:val="24"/>
              </w:rPr>
            </w:pPr>
            <w:r w:rsidRPr="00D822A4">
              <w:rPr>
                <w:rFonts w:cstheme="minorHAnsi"/>
                <w:b/>
                <w:bCs/>
                <w:sz w:val="24"/>
                <w:szCs w:val="24"/>
              </w:rPr>
              <w:t>Agency</w:t>
            </w:r>
          </w:p>
        </w:tc>
        <w:tc>
          <w:tcPr>
            <w:tcW w:w="3150" w:type="dxa"/>
          </w:tcPr>
          <w:p w14:paraId="5EFF503A" w14:textId="38E2B694" w:rsidR="00BE4BBF" w:rsidRPr="00D822A4" w:rsidRDefault="00BE4BBF" w:rsidP="00BE4BBF">
            <w:pPr>
              <w:jc w:val="center"/>
              <w:rPr>
                <w:rFonts w:cstheme="minorHAnsi"/>
                <w:b/>
                <w:bCs/>
                <w:sz w:val="24"/>
                <w:szCs w:val="24"/>
              </w:rPr>
            </w:pPr>
            <w:r w:rsidRPr="00D822A4">
              <w:rPr>
                <w:rFonts w:cstheme="minorHAnsi"/>
                <w:b/>
                <w:bCs/>
                <w:sz w:val="24"/>
                <w:szCs w:val="24"/>
              </w:rPr>
              <w:t>Count</w:t>
            </w:r>
            <w:r w:rsidR="00EB71A2" w:rsidRPr="00D822A4">
              <w:rPr>
                <w:rFonts w:cstheme="minorHAnsi"/>
                <w:b/>
                <w:bCs/>
                <w:sz w:val="24"/>
                <w:szCs w:val="24"/>
              </w:rPr>
              <w:t>y</w:t>
            </w:r>
          </w:p>
        </w:tc>
        <w:tc>
          <w:tcPr>
            <w:tcW w:w="2065" w:type="dxa"/>
          </w:tcPr>
          <w:p w14:paraId="03B5A255" w14:textId="5E628224" w:rsidR="00BE4BBF" w:rsidRPr="00D822A4" w:rsidRDefault="00BE4BBF" w:rsidP="00BE4BBF">
            <w:pPr>
              <w:jc w:val="center"/>
              <w:rPr>
                <w:rFonts w:cstheme="minorHAnsi"/>
                <w:b/>
                <w:bCs/>
                <w:sz w:val="24"/>
                <w:szCs w:val="24"/>
              </w:rPr>
            </w:pPr>
            <w:r w:rsidRPr="00D822A4">
              <w:rPr>
                <w:rFonts w:cstheme="minorHAnsi"/>
                <w:b/>
                <w:bCs/>
                <w:sz w:val="24"/>
                <w:szCs w:val="24"/>
              </w:rPr>
              <w:t>Amount</w:t>
            </w:r>
          </w:p>
        </w:tc>
      </w:tr>
      <w:tr w:rsidR="00AF2F7C" w14:paraId="3503CF35" w14:textId="77777777" w:rsidTr="00AF5462">
        <w:tc>
          <w:tcPr>
            <w:tcW w:w="4135" w:type="dxa"/>
          </w:tcPr>
          <w:p w14:paraId="3361361D" w14:textId="5B2AA528" w:rsidR="00AF2F7C" w:rsidRPr="00D822A4" w:rsidRDefault="00AF2F7C" w:rsidP="00AF5462">
            <w:pPr>
              <w:jc w:val="center"/>
              <w:rPr>
                <w:rFonts w:cstheme="minorHAnsi"/>
                <w:sz w:val="24"/>
                <w:szCs w:val="24"/>
              </w:rPr>
            </w:pPr>
            <w:r w:rsidRPr="00D822A4">
              <w:rPr>
                <w:rFonts w:cstheme="minorHAnsi"/>
                <w:sz w:val="24"/>
                <w:szCs w:val="24"/>
              </w:rPr>
              <w:t>Athens-Meigs Educational Service Center</w:t>
            </w:r>
            <w:r w:rsidR="0072001E" w:rsidRPr="00D822A4">
              <w:rPr>
                <w:rFonts w:cstheme="minorHAnsi"/>
                <w:sz w:val="24"/>
                <w:szCs w:val="24"/>
              </w:rPr>
              <w:t>*</w:t>
            </w:r>
          </w:p>
        </w:tc>
        <w:tc>
          <w:tcPr>
            <w:tcW w:w="3150" w:type="dxa"/>
          </w:tcPr>
          <w:p w14:paraId="3365D7F1" w14:textId="38474BFA" w:rsidR="00AF2F7C" w:rsidRPr="00D822A4" w:rsidRDefault="00AF2F7C" w:rsidP="00AF5462">
            <w:pPr>
              <w:jc w:val="center"/>
              <w:rPr>
                <w:rFonts w:cstheme="minorHAnsi"/>
                <w:sz w:val="24"/>
                <w:szCs w:val="24"/>
              </w:rPr>
            </w:pPr>
            <w:r w:rsidRPr="00D822A4">
              <w:rPr>
                <w:rFonts w:cstheme="minorHAnsi"/>
                <w:sz w:val="24"/>
                <w:szCs w:val="24"/>
              </w:rPr>
              <w:t>Athen</w:t>
            </w:r>
            <w:r w:rsidR="00D822A4" w:rsidRPr="00D822A4">
              <w:rPr>
                <w:rFonts w:cstheme="minorHAnsi"/>
                <w:sz w:val="24"/>
                <w:szCs w:val="24"/>
              </w:rPr>
              <w:t>s</w:t>
            </w:r>
            <w:r w:rsidR="00D822A4">
              <w:rPr>
                <w:rFonts w:cstheme="minorHAnsi"/>
                <w:sz w:val="24"/>
                <w:szCs w:val="24"/>
              </w:rPr>
              <w:t xml:space="preserve"> &amp; Meigs</w:t>
            </w:r>
          </w:p>
        </w:tc>
        <w:tc>
          <w:tcPr>
            <w:tcW w:w="2065" w:type="dxa"/>
          </w:tcPr>
          <w:p w14:paraId="651A177C" w14:textId="142F5085" w:rsidR="00AF2F7C" w:rsidRPr="00D822A4" w:rsidRDefault="00117C0F" w:rsidP="00AF5462">
            <w:pPr>
              <w:jc w:val="center"/>
              <w:rPr>
                <w:rFonts w:cstheme="minorHAnsi"/>
                <w:sz w:val="24"/>
                <w:szCs w:val="24"/>
              </w:rPr>
            </w:pPr>
            <w:r w:rsidRPr="00D822A4">
              <w:rPr>
                <w:rFonts w:cstheme="minorHAnsi"/>
                <w:sz w:val="24"/>
                <w:szCs w:val="24"/>
              </w:rPr>
              <w:t>$30,450</w:t>
            </w:r>
          </w:p>
        </w:tc>
      </w:tr>
      <w:tr w:rsidR="00D822A4" w14:paraId="620DA276" w14:textId="77777777" w:rsidTr="0085451D">
        <w:tc>
          <w:tcPr>
            <w:tcW w:w="4135" w:type="dxa"/>
            <w:vAlign w:val="center"/>
          </w:tcPr>
          <w:p w14:paraId="4689D2A6" w14:textId="1CC9BD76" w:rsidR="00D822A4" w:rsidRPr="00D822A4" w:rsidRDefault="00D822A4" w:rsidP="00D822A4">
            <w:pPr>
              <w:jc w:val="center"/>
              <w:rPr>
                <w:rFonts w:cstheme="minorHAnsi"/>
                <w:sz w:val="24"/>
                <w:szCs w:val="24"/>
              </w:rPr>
            </w:pPr>
            <w:r w:rsidRPr="00D822A4">
              <w:rPr>
                <w:rFonts w:eastAsia="Times New Roman" w:cstheme="minorHAnsi"/>
                <w:color w:val="000000"/>
                <w:sz w:val="24"/>
                <w:szCs w:val="24"/>
              </w:rPr>
              <w:t>Butler Tech and Career Development Schools</w:t>
            </w:r>
          </w:p>
        </w:tc>
        <w:tc>
          <w:tcPr>
            <w:tcW w:w="3150" w:type="dxa"/>
            <w:vAlign w:val="center"/>
          </w:tcPr>
          <w:p w14:paraId="3062F562" w14:textId="02762B6B" w:rsidR="00D822A4" w:rsidRPr="00D822A4" w:rsidRDefault="00D822A4" w:rsidP="00D822A4">
            <w:pPr>
              <w:jc w:val="center"/>
              <w:rPr>
                <w:rFonts w:cstheme="minorHAnsi"/>
                <w:sz w:val="24"/>
                <w:szCs w:val="24"/>
              </w:rPr>
            </w:pPr>
            <w:r w:rsidRPr="00D822A4">
              <w:rPr>
                <w:rFonts w:eastAsia="Times New Roman" w:cstheme="minorHAnsi"/>
                <w:color w:val="000000"/>
                <w:sz w:val="24"/>
                <w:szCs w:val="24"/>
              </w:rPr>
              <w:t>Butler</w:t>
            </w:r>
          </w:p>
        </w:tc>
        <w:tc>
          <w:tcPr>
            <w:tcW w:w="2065" w:type="dxa"/>
            <w:vAlign w:val="center"/>
          </w:tcPr>
          <w:p w14:paraId="5F6C8A97" w14:textId="5184D5BE" w:rsidR="00D822A4" w:rsidRPr="00D822A4" w:rsidRDefault="00D822A4" w:rsidP="00D822A4">
            <w:pPr>
              <w:jc w:val="center"/>
              <w:rPr>
                <w:rFonts w:cstheme="minorHAnsi"/>
                <w:sz w:val="24"/>
                <w:szCs w:val="24"/>
              </w:rPr>
            </w:pPr>
            <w:r w:rsidRPr="00D822A4">
              <w:rPr>
                <w:rFonts w:eastAsia="Times New Roman" w:cstheme="minorHAnsi"/>
                <w:color w:val="000000"/>
                <w:sz w:val="24"/>
                <w:szCs w:val="24"/>
              </w:rPr>
              <w:t xml:space="preserve"> $61,335</w:t>
            </w:r>
          </w:p>
        </w:tc>
      </w:tr>
      <w:tr w:rsidR="00D822A4" w14:paraId="7AE8E927" w14:textId="77777777" w:rsidTr="001229FE">
        <w:tc>
          <w:tcPr>
            <w:tcW w:w="4135" w:type="dxa"/>
            <w:vAlign w:val="center"/>
          </w:tcPr>
          <w:p w14:paraId="07C549C8" w14:textId="00E67249" w:rsidR="00D822A4" w:rsidRPr="00D822A4" w:rsidRDefault="00D822A4" w:rsidP="00D822A4">
            <w:pPr>
              <w:jc w:val="center"/>
              <w:rPr>
                <w:rFonts w:cstheme="minorHAnsi"/>
                <w:sz w:val="24"/>
                <w:szCs w:val="24"/>
              </w:rPr>
            </w:pPr>
            <w:r w:rsidRPr="00D822A4">
              <w:rPr>
                <w:rFonts w:eastAsia="Times New Roman" w:cstheme="minorHAnsi"/>
                <w:color w:val="000000"/>
                <w:sz w:val="24"/>
                <w:szCs w:val="24"/>
              </w:rPr>
              <w:t>Columbiana County Educational Service Center</w:t>
            </w:r>
          </w:p>
        </w:tc>
        <w:tc>
          <w:tcPr>
            <w:tcW w:w="3150" w:type="dxa"/>
            <w:vAlign w:val="center"/>
          </w:tcPr>
          <w:p w14:paraId="36AC2465" w14:textId="2C2D6FEA" w:rsidR="00D822A4" w:rsidRPr="00D822A4" w:rsidRDefault="00D822A4" w:rsidP="00D822A4">
            <w:pPr>
              <w:jc w:val="center"/>
              <w:rPr>
                <w:rFonts w:cstheme="minorHAnsi"/>
                <w:sz w:val="24"/>
                <w:szCs w:val="24"/>
              </w:rPr>
            </w:pPr>
            <w:r w:rsidRPr="00D822A4">
              <w:rPr>
                <w:rFonts w:eastAsia="Times New Roman" w:cstheme="minorHAnsi"/>
                <w:color w:val="000000"/>
                <w:sz w:val="24"/>
                <w:szCs w:val="24"/>
              </w:rPr>
              <w:t>Columbiana</w:t>
            </w:r>
          </w:p>
        </w:tc>
        <w:tc>
          <w:tcPr>
            <w:tcW w:w="2065" w:type="dxa"/>
            <w:vAlign w:val="center"/>
          </w:tcPr>
          <w:p w14:paraId="04FD0D03" w14:textId="16B3203F" w:rsidR="00D822A4" w:rsidRPr="00D822A4" w:rsidRDefault="00D822A4" w:rsidP="00D822A4">
            <w:pPr>
              <w:jc w:val="center"/>
              <w:rPr>
                <w:rFonts w:cstheme="minorHAnsi"/>
                <w:sz w:val="24"/>
                <w:szCs w:val="24"/>
              </w:rPr>
            </w:pPr>
            <w:r w:rsidRPr="00D822A4">
              <w:rPr>
                <w:rFonts w:eastAsia="Times New Roman" w:cstheme="minorHAnsi"/>
                <w:color w:val="000000"/>
                <w:sz w:val="24"/>
                <w:szCs w:val="24"/>
              </w:rPr>
              <w:t xml:space="preserve"> $88,110</w:t>
            </w:r>
          </w:p>
        </w:tc>
      </w:tr>
      <w:tr w:rsidR="00D822A4" w14:paraId="2734D07A" w14:textId="77777777" w:rsidTr="001229FE">
        <w:tc>
          <w:tcPr>
            <w:tcW w:w="4135" w:type="dxa"/>
            <w:vAlign w:val="center"/>
          </w:tcPr>
          <w:p w14:paraId="63596C0A" w14:textId="4EDADEB8" w:rsidR="00D822A4" w:rsidRPr="00D822A4" w:rsidRDefault="00D822A4" w:rsidP="00D822A4">
            <w:pPr>
              <w:jc w:val="center"/>
              <w:rPr>
                <w:rFonts w:eastAsia="Times New Roman" w:cstheme="minorHAnsi"/>
                <w:color w:val="000000"/>
                <w:sz w:val="24"/>
                <w:szCs w:val="24"/>
              </w:rPr>
            </w:pPr>
            <w:r w:rsidRPr="00D822A4">
              <w:rPr>
                <w:rFonts w:eastAsia="Times New Roman" w:cstheme="minorHAnsi"/>
                <w:color w:val="000000"/>
                <w:sz w:val="24"/>
                <w:szCs w:val="24"/>
              </w:rPr>
              <w:t>Village of West Lafayette</w:t>
            </w:r>
          </w:p>
        </w:tc>
        <w:tc>
          <w:tcPr>
            <w:tcW w:w="3150" w:type="dxa"/>
            <w:vAlign w:val="center"/>
          </w:tcPr>
          <w:p w14:paraId="78929BEA" w14:textId="3D9F1049" w:rsidR="00D822A4" w:rsidRPr="00D822A4" w:rsidRDefault="00D822A4" w:rsidP="00D822A4">
            <w:pPr>
              <w:jc w:val="center"/>
              <w:rPr>
                <w:rFonts w:eastAsia="Times New Roman" w:cstheme="minorHAnsi"/>
                <w:color w:val="000000"/>
                <w:sz w:val="24"/>
                <w:szCs w:val="24"/>
              </w:rPr>
            </w:pPr>
            <w:r w:rsidRPr="00D822A4">
              <w:rPr>
                <w:rFonts w:eastAsia="Times New Roman" w:cstheme="minorHAnsi"/>
                <w:color w:val="000000"/>
                <w:sz w:val="24"/>
                <w:szCs w:val="24"/>
              </w:rPr>
              <w:t>Coshocton</w:t>
            </w:r>
          </w:p>
        </w:tc>
        <w:tc>
          <w:tcPr>
            <w:tcW w:w="2065" w:type="dxa"/>
            <w:vAlign w:val="center"/>
          </w:tcPr>
          <w:p w14:paraId="2B744982" w14:textId="63D87D82" w:rsidR="00D822A4" w:rsidRPr="00D822A4" w:rsidRDefault="00D822A4" w:rsidP="00D822A4">
            <w:pPr>
              <w:jc w:val="center"/>
              <w:rPr>
                <w:rFonts w:eastAsia="Times New Roman" w:cstheme="minorHAnsi"/>
                <w:color w:val="000000"/>
                <w:sz w:val="24"/>
                <w:szCs w:val="24"/>
              </w:rPr>
            </w:pPr>
            <w:r w:rsidRPr="00D822A4">
              <w:rPr>
                <w:rFonts w:eastAsia="Times New Roman" w:cstheme="minorHAnsi"/>
                <w:color w:val="000000"/>
                <w:sz w:val="24"/>
                <w:szCs w:val="24"/>
              </w:rPr>
              <w:t xml:space="preserve"> $98,335</w:t>
            </w:r>
          </w:p>
        </w:tc>
      </w:tr>
      <w:tr w:rsidR="00D822A4" w14:paraId="28D4AA8C" w14:textId="77777777" w:rsidTr="001229FE">
        <w:tc>
          <w:tcPr>
            <w:tcW w:w="4135" w:type="dxa"/>
            <w:vAlign w:val="center"/>
          </w:tcPr>
          <w:p w14:paraId="16563D64" w14:textId="23E2A037" w:rsidR="00D822A4" w:rsidRPr="00D822A4" w:rsidRDefault="00D822A4" w:rsidP="00D822A4">
            <w:pPr>
              <w:jc w:val="center"/>
              <w:rPr>
                <w:rFonts w:eastAsia="Times New Roman" w:cstheme="minorHAnsi"/>
                <w:color w:val="000000"/>
                <w:sz w:val="24"/>
                <w:szCs w:val="24"/>
              </w:rPr>
            </w:pPr>
            <w:r w:rsidRPr="00D822A4">
              <w:rPr>
                <w:rFonts w:eastAsia="Times New Roman" w:cstheme="minorHAnsi"/>
                <w:color w:val="000000"/>
                <w:sz w:val="24"/>
                <w:szCs w:val="24"/>
              </w:rPr>
              <w:t>Bethel Tate Local Schools</w:t>
            </w:r>
          </w:p>
        </w:tc>
        <w:tc>
          <w:tcPr>
            <w:tcW w:w="3150" w:type="dxa"/>
            <w:vAlign w:val="center"/>
          </w:tcPr>
          <w:p w14:paraId="057DE3D2" w14:textId="48292B88" w:rsidR="00D822A4" w:rsidRPr="00D822A4" w:rsidRDefault="00D822A4" w:rsidP="00D822A4">
            <w:pPr>
              <w:jc w:val="center"/>
              <w:rPr>
                <w:rFonts w:eastAsia="Times New Roman" w:cstheme="minorHAnsi"/>
                <w:color w:val="000000"/>
                <w:sz w:val="24"/>
                <w:szCs w:val="24"/>
              </w:rPr>
            </w:pPr>
            <w:r w:rsidRPr="00D822A4">
              <w:rPr>
                <w:rFonts w:eastAsia="Times New Roman" w:cstheme="minorHAnsi"/>
                <w:color w:val="000000"/>
                <w:sz w:val="24"/>
                <w:szCs w:val="24"/>
              </w:rPr>
              <w:t>Clermont</w:t>
            </w:r>
          </w:p>
        </w:tc>
        <w:tc>
          <w:tcPr>
            <w:tcW w:w="2065" w:type="dxa"/>
            <w:vAlign w:val="center"/>
          </w:tcPr>
          <w:p w14:paraId="4999B57F" w14:textId="36074F5A" w:rsidR="00D822A4" w:rsidRPr="00D822A4" w:rsidRDefault="00D822A4" w:rsidP="00D822A4">
            <w:pPr>
              <w:jc w:val="center"/>
              <w:rPr>
                <w:rFonts w:eastAsia="Times New Roman" w:cstheme="minorHAnsi"/>
                <w:color w:val="000000"/>
                <w:sz w:val="24"/>
                <w:szCs w:val="24"/>
              </w:rPr>
            </w:pPr>
            <w:r w:rsidRPr="00D822A4">
              <w:rPr>
                <w:rFonts w:eastAsia="Times New Roman" w:cstheme="minorHAnsi"/>
                <w:color w:val="000000"/>
                <w:sz w:val="24"/>
                <w:szCs w:val="24"/>
              </w:rPr>
              <w:t xml:space="preserve"> $116,630</w:t>
            </w:r>
          </w:p>
        </w:tc>
      </w:tr>
      <w:tr w:rsidR="00D822A4" w14:paraId="2FA632E6" w14:textId="77777777" w:rsidTr="001229FE">
        <w:tc>
          <w:tcPr>
            <w:tcW w:w="4135" w:type="dxa"/>
            <w:vAlign w:val="center"/>
          </w:tcPr>
          <w:p w14:paraId="312BADAF" w14:textId="21C97B5C" w:rsidR="00D822A4" w:rsidRPr="00D822A4" w:rsidRDefault="00D822A4" w:rsidP="00D822A4">
            <w:pPr>
              <w:jc w:val="center"/>
              <w:rPr>
                <w:rFonts w:eastAsia="Times New Roman" w:cstheme="minorHAnsi"/>
                <w:color w:val="000000"/>
                <w:sz w:val="24"/>
                <w:szCs w:val="24"/>
              </w:rPr>
            </w:pPr>
            <w:r w:rsidRPr="00D822A4">
              <w:rPr>
                <w:rFonts w:eastAsia="Times New Roman" w:cstheme="minorHAnsi"/>
                <w:color w:val="000000"/>
                <w:sz w:val="24"/>
                <w:szCs w:val="24"/>
              </w:rPr>
              <w:t>Felicity Franklin Local Schools</w:t>
            </w:r>
          </w:p>
        </w:tc>
        <w:tc>
          <w:tcPr>
            <w:tcW w:w="3150" w:type="dxa"/>
            <w:vAlign w:val="center"/>
          </w:tcPr>
          <w:p w14:paraId="73B2D75B" w14:textId="498E39D6" w:rsidR="00D822A4" w:rsidRPr="00D822A4" w:rsidRDefault="00D822A4" w:rsidP="00D822A4">
            <w:pPr>
              <w:jc w:val="center"/>
              <w:rPr>
                <w:rFonts w:eastAsia="Times New Roman" w:cstheme="minorHAnsi"/>
                <w:color w:val="000000"/>
                <w:sz w:val="24"/>
                <w:szCs w:val="24"/>
              </w:rPr>
            </w:pPr>
            <w:r w:rsidRPr="00D822A4">
              <w:rPr>
                <w:rFonts w:eastAsia="Times New Roman" w:cstheme="minorHAnsi"/>
                <w:color w:val="000000"/>
                <w:sz w:val="24"/>
                <w:szCs w:val="24"/>
              </w:rPr>
              <w:t>Clermont</w:t>
            </w:r>
          </w:p>
        </w:tc>
        <w:tc>
          <w:tcPr>
            <w:tcW w:w="2065" w:type="dxa"/>
            <w:vAlign w:val="center"/>
          </w:tcPr>
          <w:p w14:paraId="2EFCB486" w14:textId="27079C8D" w:rsidR="00D822A4" w:rsidRPr="00D822A4" w:rsidRDefault="00D822A4" w:rsidP="00D822A4">
            <w:pPr>
              <w:jc w:val="center"/>
              <w:rPr>
                <w:rFonts w:eastAsia="Times New Roman" w:cstheme="minorHAnsi"/>
                <w:color w:val="000000"/>
                <w:sz w:val="24"/>
                <w:szCs w:val="24"/>
              </w:rPr>
            </w:pPr>
            <w:r w:rsidRPr="00D822A4">
              <w:rPr>
                <w:rFonts w:eastAsia="Times New Roman" w:cstheme="minorHAnsi"/>
                <w:color w:val="000000"/>
                <w:sz w:val="24"/>
                <w:szCs w:val="24"/>
              </w:rPr>
              <w:t xml:space="preserve"> $46,500</w:t>
            </w:r>
          </w:p>
        </w:tc>
      </w:tr>
      <w:tr w:rsidR="00D822A4" w14:paraId="2BCC158E" w14:textId="77777777" w:rsidTr="001229FE">
        <w:tc>
          <w:tcPr>
            <w:tcW w:w="4135" w:type="dxa"/>
            <w:vAlign w:val="center"/>
          </w:tcPr>
          <w:p w14:paraId="0C4DE0EA" w14:textId="2B3541B3" w:rsidR="00D822A4" w:rsidRPr="00D822A4" w:rsidRDefault="00D822A4" w:rsidP="00D822A4">
            <w:pPr>
              <w:jc w:val="center"/>
              <w:rPr>
                <w:rFonts w:eastAsia="Times New Roman" w:cstheme="minorHAnsi"/>
                <w:color w:val="000000"/>
                <w:sz w:val="24"/>
                <w:szCs w:val="24"/>
              </w:rPr>
            </w:pPr>
            <w:r w:rsidRPr="00D822A4">
              <w:rPr>
                <w:rFonts w:eastAsia="Times New Roman" w:cstheme="minorHAnsi"/>
                <w:color w:val="000000"/>
                <w:sz w:val="24"/>
                <w:szCs w:val="24"/>
              </w:rPr>
              <w:t>Goshen Local Schools</w:t>
            </w:r>
          </w:p>
        </w:tc>
        <w:tc>
          <w:tcPr>
            <w:tcW w:w="3150" w:type="dxa"/>
            <w:vAlign w:val="center"/>
          </w:tcPr>
          <w:p w14:paraId="22BA15E0" w14:textId="783D4BD4" w:rsidR="00D822A4" w:rsidRPr="00D822A4" w:rsidRDefault="00D822A4" w:rsidP="00D822A4">
            <w:pPr>
              <w:jc w:val="center"/>
              <w:rPr>
                <w:rFonts w:eastAsia="Times New Roman" w:cstheme="minorHAnsi"/>
                <w:color w:val="000000"/>
                <w:sz w:val="24"/>
                <w:szCs w:val="24"/>
              </w:rPr>
            </w:pPr>
            <w:r w:rsidRPr="00D822A4">
              <w:rPr>
                <w:rFonts w:eastAsia="Times New Roman" w:cstheme="minorHAnsi"/>
                <w:color w:val="000000"/>
                <w:sz w:val="24"/>
                <w:szCs w:val="24"/>
              </w:rPr>
              <w:t>Clermont</w:t>
            </w:r>
          </w:p>
        </w:tc>
        <w:tc>
          <w:tcPr>
            <w:tcW w:w="2065" w:type="dxa"/>
            <w:vAlign w:val="center"/>
          </w:tcPr>
          <w:p w14:paraId="57E5F3F0" w14:textId="04DC3856" w:rsidR="00D822A4" w:rsidRPr="00D822A4" w:rsidRDefault="00D822A4" w:rsidP="00D822A4">
            <w:pPr>
              <w:jc w:val="center"/>
              <w:rPr>
                <w:rFonts w:eastAsia="Times New Roman" w:cstheme="minorHAnsi"/>
                <w:color w:val="000000"/>
                <w:sz w:val="24"/>
                <w:szCs w:val="24"/>
              </w:rPr>
            </w:pPr>
            <w:r w:rsidRPr="00D822A4">
              <w:rPr>
                <w:rFonts w:eastAsia="Times New Roman" w:cstheme="minorHAnsi"/>
                <w:color w:val="000000"/>
                <w:sz w:val="24"/>
                <w:szCs w:val="24"/>
              </w:rPr>
              <w:t xml:space="preserve"> $61,500</w:t>
            </w:r>
          </w:p>
        </w:tc>
      </w:tr>
      <w:tr w:rsidR="00D822A4" w14:paraId="7071FD0A" w14:textId="77777777" w:rsidTr="001229FE">
        <w:tc>
          <w:tcPr>
            <w:tcW w:w="4135" w:type="dxa"/>
            <w:vAlign w:val="center"/>
          </w:tcPr>
          <w:p w14:paraId="4B305C8B" w14:textId="5DD649E5" w:rsidR="00D822A4" w:rsidRPr="00D822A4" w:rsidRDefault="00D822A4" w:rsidP="00D822A4">
            <w:pPr>
              <w:jc w:val="center"/>
              <w:rPr>
                <w:rFonts w:eastAsia="Times New Roman" w:cstheme="minorHAnsi"/>
                <w:color w:val="000000"/>
                <w:sz w:val="24"/>
                <w:szCs w:val="24"/>
              </w:rPr>
            </w:pPr>
            <w:r w:rsidRPr="00D822A4">
              <w:rPr>
                <w:rFonts w:eastAsia="Times New Roman" w:cstheme="minorHAnsi"/>
                <w:color w:val="000000"/>
                <w:sz w:val="24"/>
                <w:szCs w:val="24"/>
              </w:rPr>
              <w:t>Sandusky City School District</w:t>
            </w:r>
          </w:p>
        </w:tc>
        <w:tc>
          <w:tcPr>
            <w:tcW w:w="3150" w:type="dxa"/>
            <w:vAlign w:val="center"/>
          </w:tcPr>
          <w:p w14:paraId="195B1E02" w14:textId="00DDB7FA" w:rsidR="00D822A4" w:rsidRPr="00D822A4" w:rsidRDefault="00D822A4" w:rsidP="00D822A4">
            <w:pPr>
              <w:jc w:val="center"/>
              <w:rPr>
                <w:rFonts w:eastAsia="Times New Roman" w:cstheme="minorHAnsi"/>
                <w:color w:val="000000"/>
                <w:sz w:val="24"/>
                <w:szCs w:val="24"/>
              </w:rPr>
            </w:pPr>
            <w:r w:rsidRPr="00D822A4">
              <w:rPr>
                <w:rFonts w:eastAsia="Times New Roman" w:cstheme="minorHAnsi"/>
                <w:color w:val="000000"/>
                <w:sz w:val="24"/>
                <w:szCs w:val="24"/>
              </w:rPr>
              <w:t>Erie</w:t>
            </w:r>
          </w:p>
        </w:tc>
        <w:tc>
          <w:tcPr>
            <w:tcW w:w="2065" w:type="dxa"/>
            <w:vAlign w:val="center"/>
          </w:tcPr>
          <w:p w14:paraId="579B0093" w14:textId="5E98D6DA" w:rsidR="00D822A4" w:rsidRPr="00D822A4" w:rsidRDefault="00D822A4" w:rsidP="00D822A4">
            <w:pPr>
              <w:jc w:val="center"/>
              <w:rPr>
                <w:rFonts w:eastAsia="Times New Roman" w:cstheme="minorHAnsi"/>
                <w:color w:val="000000"/>
                <w:sz w:val="24"/>
                <w:szCs w:val="24"/>
              </w:rPr>
            </w:pPr>
            <w:r w:rsidRPr="00D822A4">
              <w:rPr>
                <w:rFonts w:eastAsia="Times New Roman" w:cstheme="minorHAnsi"/>
                <w:color w:val="000000"/>
                <w:sz w:val="24"/>
                <w:szCs w:val="24"/>
              </w:rPr>
              <w:t xml:space="preserve"> $39,600 </w:t>
            </w:r>
          </w:p>
        </w:tc>
      </w:tr>
      <w:tr w:rsidR="00D822A4" w14:paraId="36B2529F" w14:textId="77777777" w:rsidTr="001229FE">
        <w:tc>
          <w:tcPr>
            <w:tcW w:w="4135" w:type="dxa"/>
            <w:vAlign w:val="center"/>
          </w:tcPr>
          <w:p w14:paraId="4C84CFB5" w14:textId="59EC772B" w:rsidR="00D822A4" w:rsidRPr="00D822A4" w:rsidRDefault="00D822A4" w:rsidP="00D822A4">
            <w:pPr>
              <w:jc w:val="center"/>
              <w:rPr>
                <w:rFonts w:eastAsia="Times New Roman" w:cstheme="minorHAnsi"/>
                <w:color w:val="000000"/>
                <w:sz w:val="24"/>
                <w:szCs w:val="24"/>
              </w:rPr>
            </w:pPr>
            <w:r w:rsidRPr="00D822A4">
              <w:rPr>
                <w:rFonts w:eastAsia="Times New Roman" w:cstheme="minorHAnsi"/>
                <w:color w:val="000000"/>
                <w:sz w:val="24"/>
                <w:szCs w:val="24"/>
              </w:rPr>
              <w:t>Fairfield Union Local Schools</w:t>
            </w:r>
          </w:p>
        </w:tc>
        <w:tc>
          <w:tcPr>
            <w:tcW w:w="3150" w:type="dxa"/>
            <w:vAlign w:val="center"/>
          </w:tcPr>
          <w:p w14:paraId="1E214240" w14:textId="5FA4A1CF" w:rsidR="00D822A4" w:rsidRPr="00D822A4" w:rsidRDefault="00D822A4" w:rsidP="00D822A4">
            <w:pPr>
              <w:jc w:val="center"/>
              <w:rPr>
                <w:rFonts w:eastAsia="Times New Roman" w:cstheme="minorHAnsi"/>
                <w:color w:val="000000"/>
                <w:sz w:val="24"/>
                <w:szCs w:val="24"/>
              </w:rPr>
            </w:pPr>
            <w:r w:rsidRPr="00D822A4">
              <w:rPr>
                <w:rFonts w:eastAsia="Times New Roman" w:cstheme="minorHAnsi"/>
                <w:color w:val="000000"/>
                <w:sz w:val="24"/>
                <w:szCs w:val="24"/>
              </w:rPr>
              <w:t>Fairfield</w:t>
            </w:r>
          </w:p>
        </w:tc>
        <w:tc>
          <w:tcPr>
            <w:tcW w:w="2065" w:type="dxa"/>
            <w:vAlign w:val="center"/>
          </w:tcPr>
          <w:p w14:paraId="7CF74F83" w14:textId="17442B2F" w:rsidR="00D822A4" w:rsidRPr="00D822A4" w:rsidRDefault="00D822A4" w:rsidP="00D822A4">
            <w:pPr>
              <w:jc w:val="center"/>
              <w:rPr>
                <w:rFonts w:eastAsia="Times New Roman" w:cstheme="minorHAnsi"/>
                <w:color w:val="000000"/>
                <w:sz w:val="24"/>
                <w:szCs w:val="24"/>
              </w:rPr>
            </w:pPr>
            <w:r w:rsidRPr="00D822A4">
              <w:rPr>
                <w:rFonts w:eastAsia="Times New Roman" w:cstheme="minorHAnsi"/>
                <w:color w:val="000000"/>
                <w:sz w:val="24"/>
                <w:szCs w:val="24"/>
              </w:rPr>
              <w:t xml:space="preserve"> $27,750</w:t>
            </w:r>
          </w:p>
        </w:tc>
      </w:tr>
      <w:tr w:rsidR="00D822A4" w14:paraId="2B75866E" w14:textId="77777777" w:rsidTr="001229FE">
        <w:tc>
          <w:tcPr>
            <w:tcW w:w="4135" w:type="dxa"/>
            <w:vAlign w:val="center"/>
          </w:tcPr>
          <w:p w14:paraId="78FBA2BD" w14:textId="6B4C2461" w:rsidR="00D822A4" w:rsidRPr="00D822A4" w:rsidRDefault="00D822A4" w:rsidP="00D822A4">
            <w:pPr>
              <w:jc w:val="center"/>
              <w:rPr>
                <w:rFonts w:eastAsia="Times New Roman" w:cstheme="minorHAnsi"/>
                <w:color w:val="000000"/>
                <w:sz w:val="24"/>
                <w:szCs w:val="24"/>
              </w:rPr>
            </w:pPr>
            <w:r w:rsidRPr="00D822A4">
              <w:rPr>
                <w:rFonts w:eastAsia="Times New Roman" w:cstheme="minorHAnsi"/>
                <w:color w:val="000000"/>
                <w:sz w:val="24"/>
                <w:szCs w:val="24"/>
              </w:rPr>
              <w:t>Lancaster City Schools</w:t>
            </w:r>
          </w:p>
        </w:tc>
        <w:tc>
          <w:tcPr>
            <w:tcW w:w="3150" w:type="dxa"/>
            <w:vAlign w:val="center"/>
          </w:tcPr>
          <w:p w14:paraId="689F267E" w14:textId="631C8071" w:rsidR="00D822A4" w:rsidRPr="00D822A4" w:rsidRDefault="00D822A4" w:rsidP="00D822A4">
            <w:pPr>
              <w:jc w:val="center"/>
              <w:rPr>
                <w:rFonts w:eastAsia="Times New Roman" w:cstheme="minorHAnsi"/>
                <w:color w:val="000000"/>
                <w:sz w:val="24"/>
                <w:szCs w:val="24"/>
              </w:rPr>
            </w:pPr>
            <w:r w:rsidRPr="00D822A4">
              <w:rPr>
                <w:rFonts w:eastAsia="Times New Roman" w:cstheme="minorHAnsi"/>
                <w:color w:val="000000"/>
                <w:sz w:val="24"/>
                <w:szCs w:val="24"/>
              </w:rPr>
              <w:t>Fairfield</w:t>
            </w:r>
          </w:p>
        </w:tc>
        <w:tc>
          <w:tcPr>
            <w:tcW w:w="2065" w:type="dxa"/>
            <w:vAlign w:val="center"/>
          </w:tcPr>
          <w:p w14:paraId="3C94971A" w14:textId="459AF69E" w:rsidR="00D822A4" w:rsidRPr="00D822A4" w:rsidRDefault="00D822A4" w:rsidP="00D822A4">
            <w:pPr>
              <w:jc w:val="center"/>
              <w:rPr>
                <w:rFonts w:eastAsia="Times New Roman" w:cstheme="minorHAnsi"/>
                <w:color w:val="000000"/>
                <w:sz w:val="24"/>
                <w:szCs w:val="24"/>
              </w:rPr>
            </w:pPr>
            <w:r w:rsidRPr="00D822A4">
              <w:rPr>
                <w:rFonts w:eastAsia="Times New Roman" w:cstheme="minorHAnsi"/>
                <w:color w:val="000000"/>
                <w:sz w:val="24"/>
                <w:szCs w:val="24"/>
              </w:rPr>
              <w:t xml:space="preserve"> $37,000</w:t>
            </w:r>
          </w:p>
        </w:tc>
      </w:tr>
      <w:tr w:rsidR="00D822A4" w14:paraId="5FA8E200" w14:textId="77777777" w:rsidTr="001229FE">
        <w:tc>
          <w:tcPr>
            <w:tcW w:w="4135" w:type="dxa"/>
            <w:vAlign w:val="center"/>
          </w:tcPr>
          <w:p w14:paraId="5E130610" w14:textId="1C789528" w:rsidR="00D822A4" w:rsidRPr="00D822A4" w:rsidRDefault="00D822A4" w:rsidP="00D822A4">
            <w:pPr>
              <w:jc w:val="center"/>
              <w:rPr>
                <w:rFonts w:eastAsia="Times New Roman" w:cstheme="minorHAnsi"/>
                <w:color w:val="000000"/>
                <w:sz w:val="24"/>
                <w:szCs w:val="24"/>
              </w:rPr>
            </w:pPr>
            <w:r w:rsidRPr="00D822A4">
              <w:rPr>
                <w:rFonts w:eastAsia="Times New Roman" w:cstheme="minorHAnsi"/>
                <w:color w:val="000000"/>
                <w:sz w:val="24"/>
                <w:szCs w:val="24"/>
              </w:rPr>
              <w:t>City of Grove City Division of Police</w:t>
            </w:r>
          </w:p>
        </w:tc>
        <w:tc>
          <w:tcPr>
            <w:tcW w:w="3150" w:type="dxa"/>
            <w:vAlign w:val="center"/>
          </w:tcPr>
          <w:p w14:paraId="1ADC773F" w14:textId="58FED8DA" w:rsidR="00D822A4" w:rsidRPr="00D822A4" w:rsidRDefault="00D822A4" w:rsidP="00D822A4">
            <w:pPr>
              <w:jc w:val="center"/>
              <w:rPr>
                <w:rFonts w:eastAsia="Times New Roman" w:cstheme="minorHAnsi"/>
                <w:color w:val="000000"/>
                <w:sz w:val="24"/>
                <w:szCs w:val="24"/>
              </w:rPr>
            </w:pPr>
            <w:r w:rsidRPr="00D822A4">
              <w:rPr>
                <w:rFonts w:eastAsia="Times New Roman" w:cstheme="minorHAnsi"/>
                <w:color w:val="000000"/>
                <w:sz w:val="24"/>
                <w:szCs w:val="24"/>
              </w:rPr>
              <w:t>Franklin</w:t>
            </w:r>
          </w:p>
        </w:tc>
        <w:tc>
          <w:tcPr>
            <w:tcW w:w="2065" w:type="dxa"/>
            <w:vAlign w:val="center"/>
          </w:tcPr>
          <w:p w14:paraId="16D760CA" w14:textId="1A1E1D0F" w:rsidR="00D822A4" w:rsidRPr="00D822A4" w:rsidRDefault="00D822A4" w:rsidP="00D822A4">
            <w:pPr>
              <w:jc w:val="center"/>
              <w:rPr>
                <w:rFonts w:eastAsia="Times New Roman" w:cstheme="minorHAnsi"/>
                <w:color w:val="000000"/>
                <w:sz w:val="24"/>
                <w:szCs w:val="24"/>
              </w:rPr>
            </w:pPr>
            <w:r w:rsidRPr="00D822A4">
              <w:rPr>
                <w:rFonts w:eastAsia="Times New Roman" w:cstheme="minorHAnsi"/>
                <w:color w:val="000000"/>
                <w:sz w:val="24"/>
                <w:szCs w:val="24"/>
              </w:rPr>
              <w:t xml:space="preserve"> $49,375</w:t>
            </w:r>
          </w:p>
        </w:tc>
      </w:tr>
      <w:tr w:rsidR="00D822A4" w14:paraId="67494A9B" w14:textId="77777777" w:rsidTr="001229FE">
        <w:tc>
          <w:tcPr>
            <w:tcW w:w="4135" w:type="dxa"/>
            <w:vAlign w:val="center"/>
          </w:tcPr>
          <w:p w14:paraId="18867422" w14:textId="5CE274DE" w:rsidR="00D822A4" w:rsidRPr="00D822A4" w:rsidRDefault="00D822A4" w:rsidP="00D822A4">
            <w:pPr>
              <w:jc w:val="center"/>
              <w:rPr>
                <w:rFonts w:eastAsia="Times New Roman" w:cstheme="minorHAnsi"/>
                <w:color w:val="000000"/>
                <w:sz w:val="24"/>
                <w:szCs w:val="24"/>
              </w:rPr>
            </w:pPr>
            <w:r w:rsidRPr="00D822A4">
              <w:rPr>
                <w:rFonts w:eastAsia="Times New Roman" w:cstheme="minorHAnsi"/>
                <w:color w:val="000000"/>
                <w:sz w:val="24"/>
                <w:szCs w:val="24"/>
              </w:rPr>
              <w:lastRenderedPageBreak/>
              <w:t>Educational Service Center of Central Ohio</w:t>
            </w:r>
          </w:p>
        </w:tc>
        <w:tc>
          <w:tcPr>
            <w:tcW w:w="3150" w:type="dxa"/>
            <w:vAlign w:val="center"/>
          </w:tcPr>
          <w:p w14:paraId="7921F3CC" w14:textId="1032C8A1" w:rsidR="00D822A4" w:rsidRPr="00D822A4" w:rsidRDefault="00D822A4" w:rsidP="00D822A4">
            <w:pPr>
              <w:jc w:val="center"/>
              <w:rPr>
                <w:rFonts w:eastAsia="Times New Roman" w:cstheme="minorHAnsi"/>
                <w:color w:val="000000"/>
                <w:sz w:val="24"/>
                <w:szCs w:val="24"/>
              </w:rPr>
            </w:pPr>
            <w:r w:rsidRPr="00D822A4">
              <w:rPr>
                <w:rFonts w:eastAsia="Times New Roman" w:cstheme="minorHAnsi"/>
                <w:color w:val="000000"/>
                <w:sz w:val="24"/>
                <w:szCs w:val="24"/>
              </w:rPr>
              <w:t>Franklin</w:t>
            </w:r>
          </w:p>
        </w:tc>
        <w:tc>
          <w:tcPr>
            <w:tcW w:w="2065" w:type="dxa"/>
            <w:vAlign w:val="center"/>
          </w:tcPr>
          <w:p w14:paraId="2692C2D6" w14:textId="2391F217" w:rsidR="00D822A4" w:rsidRPr="00D822A4" w:rsidRDefault="00D822A4" w:rsidP="00D822A4">
            <w:pPr>
              <w:jc w:val="center"/>
              <w:rPr>
                <w:rFonts w:eastAsia="Times New Roman" w:cstheme="minorHAnsi"/>
                <w:color w:val="000000"/>
                <w:sz w:val="24"/>
                <w:szCs w:val="24"/>
              </w:rPr>
            </w:pPr>
            <w:r w:rsidRPr="00D822A4">
              <w:rPr>
                <w:rFonts w:eastAsia="Times New Roman" w:cstheme="minorHAnsi"/>
                <w:color w:val="000000"/>
                <w:sz w:val="24"/>
                <w:szCs w:val="24"/>
              </w:rPr>
              <w:t xml:space="preserve"> $168,000</w:t>
            </w:r>
          </w:p>
        </w:tc>
      </w:tr>
      <w:tr w:rsidR="00D822A4" w14:paraId="2D6D9C03" w14:textId="77777777" w:rsidTr="001229FE">
        <w:tc>
          <w:tcPr>
            <w:tcW w:w="4135" w:type="dxa"/>
            <w:vAlign w:val="center"/>
          </w:tcPr>
          <w:p w14:paraId="38C8CC7F" w14:textId="73FAC0E7" w:rsidR="00D822A4" w:rsidRPr="00D822A4" w:rsidRDefault="00D822A4" w:rsidP="00D822A4">
            <w:pPr>
              <w:jc w:val="center"/>
              <w:rPr>
                <w:rFonts w:eastAsia="Times New Roman" w:cstheme="minorHAnsi"/>
                <w:color w:val="000000"/>
                <w:sz w:val="24"/>
                <w:szCs w:val="24"/>
              </w:rPr>
            </w:pPr>
            <w:r w:rsidRPr="00D822A4">
              <w:rPr>
                <w:rFonts w:eastAsia="Times New Roman" w:cstheme="minorHAnsi"/>
                <w:color w:val="000000"/>
                <w:sz w:val="24"/>
                <w:szCs w:val="24"/>
              </w:rPr>
              <w:t>South-Western City Schools</w:t>
            </w:r>
          </w:p>
        </w:tc>
        <w:tc>
          <w:tcPr>
            <w:tcW w:w="3150" w:type="dxa"/>
            <w:vAlign w:val="center"/>
          </w:tcPr>
          <w:p w14:paraId="0A59E986" w14:textId="75C75FD7" w:rsidR="00D822A4" w:rsidRPr="00D822A4" w:rsidRDefault="00D822A4" w:rsidP="00D822A4">
            <w:pPr>
              <w:jc w:val="center"/>
              <w:rPr>
                <w:rFonts w:eastAsia="Times New Roman" w:cstheme="minorHAnsi"/>
                <w:color w:val="000000"/>
                <w:sz w:val="24"/>
                <w:szCs w:val="24"/>
              </w:rPr>
            </w:pPr>
            <w:r w:rsidRPr="00D822A4">
              <w:rPr>
                <w:rFonts w:eastAsia="Times New Roman" w:cstheme="minorHAnsi"/>
                <w:color w:val="000000"/>
                <w:sz w:val="24"/>
                <w:szCs w:val="24"/>
              </w:rPr>
              <w:t>Franklin</w:t>
            </w:r>
          </w:p>
        </w:tc>
        <w:tc>
          <w:tcPr>
            <w:tcW w:w="2065" w:type="dxa"/>
            <w:vAlign w:val="center"/>
          </w:tcPr>
          <w:p w14:paraId="366074CD" w14:textId="4D079CE6" w:rsidR="00D822A4" w:rsidRPr="00D822A4" w:rsidRDefault="00D822A4" w:rsidP="00D822A4">
            <w:pPr>
              <w:jc w:val="center"/>
              <w:rPr>
                <w:rFonts w:eastAsia="Times New Roman" w:cstheme="minorHAnsi"/>
                <w:color w:val="000000"/>
                <w:sz w:val="24"/>
                <w:szCs w:val="24"/>
              </w:rPr>
            </w:pPr>
            <w:r w:rsidRPr="00D822A4">
              <w:rPr>
                <w:rFonts w:eastAsia="Times New Roman" w:cstheme="minorHAnsi"/>
                <w:color w:val="000000"/>
                <w:sz w:val="24"/>
                <w:szCs w:val="24"/>
              </w:rPr>
              <w:t xml:space="preserve"> $23,500</w:t>
            </w:r>
          </w:p>
        </w:tc>
      </w:tr>
      <w:tr w:rsidR="00D822A4" w14:paraId="537865F7" w14:textId="77777777" w:rsidTr="001229FE">
        <w:tc>
          <w:tcPr>
            <w:tcW w:w="4135" w:type="dxa"/>
            <w:vAlign w:val="center"/>
          </w:tcPr>
          <w:p w14:paraId="4E170062" w14:textId="2649D799" w:rsidR="00D822A4" w:rsidRPr="00D822A4" w:rsidRDefault="00D822A4" w:rsidP="00D822A4">
            <w:pPr>
              <w:jc w:val="center"/>
              <w:rPr>
                <w:rFonts w:eastAsia="Times New Roman" w:cstheme="minorHAnsi"/>
                <w:color w:val="000000"/>
                <w:sz w:val="24"/>
                <w:szCs w:val="24"/>
              </w:rPr>
            </w:pPr>
            <w:r w:rsidRPr="00D822A4">
              <w:rPr>
                <w:rFonts w:eastAsia="Times New Roman" w:cstheme="minorHAnsi"/>
                <w:color w:val="000000"/>
                <w:sz w:val="24"/>
                <w:szCs w:val="24"/>
              </w:rPr>
              <w:t>Whitehall Division of Police</w:t>
            </w:r>
          </w:p>
        </w:tc>
        <w:tc>
          <w:tcPr>
            <w:tcW w:w="3150" w:type="dxa"/>
            <w:vAlign w:val="center"/>
          </w:tcPr>
          <w:p w14:paraId="63767CDA" w14:textId="79E0BE74" w:rsidR="00D822A4" w:rsidRPr="00D822A4" w:rsidRDefault="00D822A4" w:rsidP="00D822A4">
            <w:pPr>
              <w:jc w:val="center"/>
              <w:rPr>
                <w:rFonts w:eastAsia="Times New Roman" w:cstheme="minorHAnsi"/>
                <w:color w:val="000000"/>
                <w:sz w:val="24"/>
                <w:szCs w:val="24"/>
              </w:rPr>
            </w:pPr>
            <w:r w:rsidRPr="00D822A4">
              <w:rPr>
                <w:rFonts w:eastAsia="Times New Roman" w:cstheme="minorHAnsi"/>
                <w:color w:val="000000"/>
                <w:sz w:val="24"/>
                <w:szCs w:val="24"/>
              </w:rPr>
              <w:t>Franklin</w:t>
            </w:r>
          </w:p>
        </w:tc>
        <w:tc>
          <w:tcPr>
            <w:tcW w:w="2065" w:type="dxa"/>
            <w:vAlign w:val="center"/>
          </w:tcPr>
          <w:p w14:paraId="53A09B73" w14:textId="6378FB1B" w:rsidR="00D822A4" w:rsidRPr="00D822A4" w:rsidRDefault="00D822A4" w:rsidP="00D822A4">
            <w:pPr>
              <w:jc w:val="center"/>
              <w:rPr>
                <w:rFonts w:eastAsia="Times New Roman" w:cstheme="minorHAnsi"/>
                <w:color w:val="000000"/>
                <w:sz w:val="24"/>
                <w:szCs w:val="24"/>
              </w:rPr>
            </w:pPr>
            <w:r w:rsidRPr="00D822A4">
              <w:rPr>
                <w:rFonts w:eastAsia="Times New Roman" w:cstheme="minorHAnsi"/>
                <w:color w:val="000000"/>
                <w:sz w:val="24"/>
                <w:szCs w:val="24"/>
              </w:rPr>
              <w:t xml:space="preserve"> $25,970</w:t>
            </w:r>
          </w:p>
        </w:tc>
      </w:tr>
      <w:tr w:rsidR="00D822A4" w14:paraId="212ECF86" w14:textId="77777777" w:rsidTr="001229FE">
        <w:tc>
          <w:tcPr>
            <w:tcW w:w="4135" w:type="dxa"/>
            <w:vAlign w:val="center"/>
          </w:tcPr>
          <w:p w14:paraId="0E65BBEB" w14:textId="59C10CA7" w:rsidR="00D822A4" w:rsidRPr="00D822A4" w:rsidRDefault="00D822A4" w:rsidP="00D822A4">
            <w:pPr>
              <w:jc w:val="center"/>
              <w:rPr>
                <w:rFonts w:eastAsia="Times New Roman" w:cstheme="minorHAnsi"/>
                <w:color w:val="000000"/>
                <w:sz w:val="24"/>
                <w:szCs w:val="24"/>
              </w:rPr>
            </w:pPr>
            <w:r w:rsidRPr="00D822A4">
              <w:rPr>
                <w:rFonts w:eastAsia="Times New Roman" w:cstheme="minorHAnsi"/>
                <w:color w:val="000000"/>
                <w:sz w:val="24"/>
                <w:szCs w:val="24"/>
              </w:rPr>
              <w:t>Greene County Public Health</w:t>
            </w:r>
          </w:p>
        </w:tc>
        <w:tc>
          <w:tcPr>
            <w:tcW w:w="3150" w:type="dxa"/>
            <w:vAlign w:val="center"/>
          </w:tcPr>
          <w:p w14:paraId="6FE6CF03" w14:textId="5E0F44BF" w:rsidR="00D822A4" w:rsidRPr="00D822A4" w:rsidRDefault="00D822A4" w:rsidP="00D822A4">
            <w:pPr>
              <w:jc w:val="center"/>
              <w:rPr>
                <w:rFonts w:eastAsia="Times New Roman" w:cstheme="minorHAnsi"/>
                <w:color w:val="000000"/>
                <w:sz w:val="24"/>
                <w:szCs w:val="24"/>
              </w:rPr>
            </w:pPr>
            <w:r w:rsidRPr="00D822A4">
              <w:rPr>
                <w:rFonts w:eastAsia="Times New Roman" w:cstheme="minorHAnsi"/>
                <w:color w:val="000000"/>
                <w:sz w:val="24"/>
                <w:szCs w:val="24"/>
              </w:rPr>
              <w:t>Greene</w:t>
            </w:r>
          </w:p>
        </w:tc>
        <w:tc>
          <w:tcPr>
            <w:tcW w:w="2065" w:type="dxa"/>
            <w:vAlign w:val="center"/>
          </w:tcPr>
          <w:p w14:paraId="04A0A035" w14:textId="21D2D55F" w:rsidR="00D822A4" w:rsidRPr="00D822A4" w:rsidRDefault="00D822A4" w:rsidP="00D822A4">
            <w:pPr>
              <w:jc w:val="center"/>
              <w:rPr>
                <w:rFonts w:eastAsia="Times New Roman" w:cstheme="minorHAnsi"/>
                <w:color w:val="000000"/>
                <w:sz w:val="24"/>
                <w:szCs w:val="24"/>
              </w:rPr>
            </w:pPr>
            <w:r w:rsidRPr="00D822A4">
              <w:rPr>
                <w:rFonts w:eastAsia="Times New Roman" w:cstheme="minorHAnsi"/>
                <w:color w:val="000000"/>
                <w:sz w:val="24"/>
                <w:szCs w:val="24"/>
              </w:rPr>
              <w:t xml:space="preserve"> $15,600</w:t>
            </w:r>
          </w:p>
        </w:tc>
      </w:tr>
      <w:tr w:rsidR="00D822A4" w14:paraId="7FBABAFD" w14:textId="77777777" w:rsidTr="001229FE">
        <w:tc>
          <w:tcPr>
            <w:tcW w:w="4135" w:type="dxa"/>
            <w:vAlign w:val="center"/>
          </w:tcPr>
          <w:p w14:paraId="7E81B546" w14:textId="180D7D52" w:rsidR="00D822A4" w:rsidRPr="00D822A4" w:rsidRDefault="00D822A4" w:rsidP="00D822A4">
            <w:pPr>
              <w:jc w:val="center"/>
              <w:rPr>
                <w:rFonts w:eastAsia="Times New Roman" w:cstheme="minorHAnsi"/>
                <w:color w:val="000000"/>
                <w:sz w:val="24"/>
                <w:szCs w:val="24"/>
              </w:rPr>
            </w:pPr>
            <w:r w:rsidRPr="00D822A4">
              <w:rPr>
                <w:rFonts w:eastAsia="Times New Roman" w:cstheme="minorHAnsi"/>
                <w:color w:val="000000"/>
                <w:sz w:val="24"/>
                <w:szCs w:val="24"/>
              </w:rPr>
              <w:t>Ohio Valley Educational Service Center*</w:t>
            </w:r>
          </w:p>
        </w:tc>
        <w:tc>
          <w:tcPr>
            <w:tcW w:w="3150" w:type="dxa"/>
            <w:vAlign w:val="center"/>
          </w:tcPr>
          <w:p w14:paraId="5114295A" w14:textId="1E0329F3" w:rsidR="00D822A4" w:rsidRPr="00D822A4" w:rsidRDefault="00D822A4" w:rsidP="00D822A4">
            <w:pPr>
              <w:jc w:val="center"/>
              <w:rPr>
                <w:rFonts w:eastAsia="Times New Roman" w:cstheme="minorHAnsi"/>
                <w:color w:val="000000"/>
                <w:sz w:val="24"/>
                <w:szCs w:val="24"/>
              </w:rPr>
            </w:pPr>
            <w:r w:rsidRPr="00D822A4">
              <w:rPr>
                <w:rFonts w:eastAsia="Times New Roman" w:cstheme="minorHAnsi"/>
                <w:color w:val="000000"/>
                <w:sz w:val="24"/>
                <w:szCs w:val="24"/>
              </w:rPr>
              <w:t>Guernsey</w:t>
            </w:r>
            <w:r w:rsidR="00D658CA">
              <w:rPr>
                <w:rFonts w:eastAsia="Times New Roman" w:cstheme="minorHAnsi"/>
                <w:color w:val="000000"/>
                <w:sz w:val="24"/>
                <w:szCs w:val="24"/>
              </w:rPr>
              <w:t>, Noble, Washington, Monroe, Franklin &amp; Perry</w:t>
            </w:r>
          </w:p>
        </w:tc>
        <w:tc>
          <w:tcPr>
            <w:tcW w:w="2065" w:type="dxa"/>
            <w:vAlign w:val="center"/>
          </w:tcPr>
          <w:p w14:paraId="0D834355" w14:textId="6DFB04B9" w:rsidR="00D822A4" w:rsidRPr="00D822A4" w:rsidRDefault="00D822A4" w:rsidP="00D822A4">
            <w:pPr>
              <w:jc w:val="center"/>
              <w:rPr>
                <w:rFonts w:eastAsia="Times New Roman" w:cstheme="minorHAnsi"/>
                <w:color w:val="000000"/>
                <w:sz w:val="24"/>
                <w:szCs w:val="24"/>
              </w:rPr>
            </w:pPr>
            <w:r w:rsidRPr="00D822A4">
              <w:rPr>
                <w:rFonts w:eastAsia="Times New Roman" w:cstheme="minorHAnsi"/>
                <w:color w:val="000000"/>
                <w:sz w:val="24"/>
                <w:szCs w:val="24"/>
              </w:rPr>
              <w:t xml:space="preserve"> $37,000</w:t>
            </w:r>
          </w:p>
        </w:tc>
      </w:tr>
      <w:tr w:rsidR="00D822A4" w14:paraId="1F206F58" w14:textId="77777777" w:rsidTr="001229FE">
        <w:tc>
          <w:tcPr>
            <w:tcW w:w="4135" w:type="dxa"/>
            <w:vAlign w:val="center"/>
          </w:tcPr>
          <w:p w14:paraId="75F10B8F" w14:textId="0A6767B5" w:rsidR="00D822A4" w:rsidRPr="00D822A4" w:rsidRDefault="00D822A4" w:rsidP="00D822A4">
            <w:pPr>
              <w:jc w:val="center"/>
              <w:rPr>
                <w:rFonts w:eastAsia="Times New Roman" w:cstheme="minorHAnsi"/>
                <w:color w:val="000000"/>
                <w:sz w:val="24"/>
                <w:szCs w:val="24"/>
              </w:rPr>
            </w:pPr>
            <w:r w:rsidRPr="00D822A4">
              <w:rPr>
                <w:rFonts w:eastAsia="Times New Roman" w:cstheme="minorHAnsi"/>
                <w:color w:val="000000"/>
                <w:sz w:val="24"/>
                <w:szCs w:val="24"/>
              </w:rPr>
              <w:t>Cincinnati Police Department</w:t>
            </w:r>
          </w:p>
        </w:tc>
        <w:tc>
          <w:tcPr>
            <w:tcW w:w="3150" w:type="dxa"/>
            <w:vAlign w:val="center"/>
          </w:tcPr>
          <w:p w14:paraId="3B55637D" w14:textId="3C0249C5" w:rsidR="00D822A4" w:rsidRPr="00D822A4" w:rsidRDefault="00D822A4" w:rsidP="00D822A4">
            <w:pPr>
              <w:jc w:val="center"/>
              <w:rPr>
                <w:rFonts w:eastAsia="Times New Roman" w:cstheme="minorHAnsi"/>
                <w:color w:val="000000"/>
                <w:sz w:val="24"/>
                <w:szCs w:val="24"/>
              </w:rPr>
            </w:pPr>
            <w:r w:rsidRPr="00D822A4">
              <w:rPr>
                <w:rFonts w:eastAsia="Times New Roman" w:cstheme="minorHAnsi"/>
                <w:color w:val="000000"/>
                <w:sz w:val="24"/>
                <w:szCs w:val="24"/>
              </w:rPr>
              <w:t>Hamilton</w:t>
            </w:r>
          </w:p>
        </w:tc>
        <w:tc>
          <w:tcPr>
            <w:tcW w:w="2065" w:type="dxa"/>
            <w:vAlign w:val="center"/>
          </w:tcPr>
          <w:p w14:paraId="55D673AC" w14:textId="3B149D41" w:rsidR="00D822A4" w:rsidRPr="00D822A4" w:rsidRDefault="00D822A4" w:rsidP="00D822A4">
            <w:pPr>
              <w:jc w:val="center"/>
              <w:rPr>
                <w:rFonts w:eastAsia="Times New Roman" w:cstheme="minorHAnsi"/>
                <w:color w:val="000000"/>
                <w:sz w:val="24"/>
                <w:szCs w:val="24"/>
              </w:rPr>
            </w:pPr>
            <w:r w:rsidRPr="00D822A4">
              <w:rPr>
                <w:rFonts w:eastAsia="Times New Roman" w:cstheme="minorHAnsi"/>
                <w:color w:val="000000"/>
                <w:sz w:val="24"/>
                <w:szCs w:val="24"/>
              </w:rPr>
              <w:t xml:space="preserve"> $56,160</w:t>
            </w:r>
          </w:p>
        </w:tc>
      </w:tr>
      <w:tr w:rsidR="00D822A4" w14:paraId="25FCC36B" w14:textId="77777777" w:rsidTr="00DD4466">
        <w:tc>
          <w:tcPr>
            <w:tcW w:w="4135" w:type="dxa"/>
          </w:tcPr>
          <w:p w14:paraId="08C0A080" w14:textId="6A0ABF44" w:rsidR="00D822A4" w:rsidRPr="00D822A4" w:rsidRDefault="00D822A4" w:rsidP="00D822A4">
            <w:pPr>
              <w:jc w:val="center"/>
              <w:rPr>
                <w:rFonts w:cstheme="minorHAnsi"/>
                <w:sz w:val="24"/>
                <w:szCs w:val="24"/>
              </w:rPr>
            </w:pPr>
            <w:r w:rsidRPr="00D822A4">
              <w:rPr>
                <w:rFonts w:cstheme="minorHAnsi"/>
                <w:sz w:val="24"/>
                <w:szCs w:val="24"/>
              </w:rPr>
              <w:t>Knox Public Health*</w:t>
            </w:r>
          </w:p>
        </w:tc>
        <w:tc>
          <w:tcPr>
            <w:tcW w:w="3150" w:type="dxa"/>
          </w:tcPr>
          <w:p w14:paraId="60DA07F8" w14:textId="77777777" w:rsidR="00D822A4" w:rsidRPr="00D822A4" w:rsidRDefault="00D822A4" w:rsidP="00D822A4">
            <w:pPr>
              <w:jc w:val="center"/>
              <w:rPr>
                <w:rFonts w:cstheme="minorHAnsi"/>
                <w:sz w:val="24"/>
                <w:szCs w:val="24"/>
              </w:rPr>
            </w:pPr>
            <w:r w:rsidRPr="00D822A4">
              <w:rPr>
                <w:rFonts w:cstheme="minorHAnsi"/>
                <w:sz w:val="24"/>
                <w:szCs w:val="24"/>
              </w:rPr>
              <w:t>Knox</w:t>
            </w:r>
          </w:p>
        </w:tc>
        <w:tc>
          <w:tcPr>
            <w:tcW w:w="2065" w:type="dxa"/>
          </w:tcPr>
          <w:p w14:paraId="27709B26" w14:textId="355A8346" w:rsidR="00D822A4" w:rsidRPr="00D822A4" w:rsidRDefault="00D822A4" w:rsidP="00D822A4">
            <w:pPr>
              <w:jc w:val="center"/>
              <w:rPr>
                <w:rFonts w:cstheme="minorHAnsi"/>
                <w:sz w:val="24"/>
                <w:szCs w:val="24"/>
              </w:rPr>
            </w:pPr>
            <w:r w:rsidRPr="00D822A4">
              <w:rPr>
                <w:rFonts w:cstheme="minorHAnsi"/>
                <w:sz w:val="24"/>
                <w:szCs w:val="24"/>
              </w:rPr>
              <w:t>$142,000</w:t>
            </w:r>
          </w:p>
        </w:tc>
      </w:tr>
      <w:tr w:rsidR="00D822A4" w14:paraId="0698F6C0" w14:textId="77777777" w:rsidTr="00132999">
        <w:tc>
          <w:tcPr>
            <w:tcW w:w="4135" w:type="dxa"/>
            <w:vAlign w:val="center"/>
          </w:tcPr>
          <w:p w14:paraId="7667A9D1" w14:textId="05A36C3E" w:rsidR="00D822A4" w:rsidRPr="00D822A4" w:rsidRDefault="00D822A4" w:rsidP="00D822A4">
            <w:pPr>
              <w:jc w:val="center"/>
              <w:rPr>
                <w:rFonts w:cstheme="minorHAnsi"/>
                <w:sz w:val="24"/>
                <w:szCs w:val="24"/>
              </w:rPr>
            </w:pPr>
            <w:r w:rsidRPr="00D822A4">
              <w:rPr>
                <w:rFonts w:eastAsia="Times New Roman" w:cstheme="minorHAnsi"/>
                <w:color w:val="000000"/>
                <w:sz w:val="24"/>
                <w:szCs w:val="24"/>
              </w:rPr>
              <w:t>Educational Service Center of the Western Reserve</w:t>
            </w:r>
          </w:p>
        </w:tc>
        <w:tc>
          <w:tcPr>
            <w:tcW w:w="3150" w:type="dxa"/>
            <w:vAlign w:val="center"/>
          </w:tcPr>
          <w:p w14:paraId="01EAB196" w14:textId="39C0C577" w:rsidR="00D822A4" w:rsidRPr="00D822A4" w:rsidRDefault="00D822A4" w:rsidP="00D822A4">
            <w:pPr>
              <w:jc w:val="center"/>
              <w:rPr>
                <w:rFonts w:cstheme="minorHAnsi"/>
                <w:sz w:val="24"/>
                <w:szCs w:val="24"/>
              </w:rPr>
            </w:pPr>
            <w:r w:rsidRPr="00D822A4">
              <w:rPr>
                <w:rFonts w:eastAsia="Times New Roman" w:cstheme="minorHAnsi"/>
                <w:color w:val="000000"/>
                <w:sz w:val="24"/>
                <w:szCs w:val="24"/>
              </w:rPr>
              <w:t>Lake</w:t>
            </w:r>
            <w:r w:rsidR="00D658CA">
              <w:rPr>
                <w:rFonts w:eastAsia="Times New Roman" w:cstheme="minorHAnsi"/>
                <w:color w:val="000000"/>
                <w:sz w:val="24"/>
                <w:szCs w:val="24"/>
              </w:rPr>
              <w:t>, Geauga &amp; Portage</w:t>
            </w:r>
          </w:p>
        </w:tc>
        <w:tc>
          <w:tcPr>
            <w:tcW w:w="2065" w:type="dxa"/>
            <w:vAlign w:val="center"/>
          </w:tcPr>
          <w:p w14:paraId="23AB884F" w14:textId="3FAF9574" w:rsidR="00D822A4" w:rsidRPr="00D822A4" w:rsidRDefault="00D822A4" w:rsidP="00D822A4">
            <w:pPr>
              <w:jc w:val="center"/>
              <w:rPr>
                <w:rFonts w:cstheme="minorHAnsi"/>
                <w:sz w:val="24"/>
                <w:szCs w:val="24"/>
              </w:rPr>
            </w:pPr>
            <w:r w:rsidRPr="00D822A4">
              <w:rPr>
                <w:rFonts w:eastAsia="Times New Roman" w:cstheme="minorHAnsi"/>
                <w:color w:val="000000"/>
                <w:sz w:val="24"/>
                <w:szCs w:val="24"/>
              </w:rPr>
              <w:t xml:space="preserve"> $53,760</w:t>
            </w:r>
          </w:p>
        </w:tc>
      </w:tr>
      <w:tr w:rsidR="00D822A4" w14:paraId="3DAD6B48" w14:textId="77777777" w:rsidTr="00F8103A">
        <w:tc>
          <w:tcPr>
            <w:tcW w:w="4135" w:type="dxa"/>
          </w:tcPr>
          <w:p w14:paraId="6FB50844" w14:textId="77777777" w:rsidR="00D822A4" w:rsidRPr="00D822A4" w:rsidRDefault="00D822A4" w:rsidP="00D822A4">
            <w:pPr>
              <w:jc w:val="center"/>
              <w:rPr>
                <w:rFonts w:cstheme="minorHAnsi"/>
                <w:sz w:val="24"/>
                <w:szCs w:val="24"/>
              </w:rPr>
            </w:pPr>
            <w:r w:rsidRPr="00D822A4">
              <w:rPr>
                <w:rFonts w:cstheme="minorHAnsi"/>
                <w:sz w:val="24"/>
                <w:szCs w:val="24"/>
              </w:rPr>
              <w:t>Toledo Public Schools*</w:t>
            </w:r>
          </w:p>
        </w:tc>
        <w:tc>
          <w:tcPr>
            <w:tcW w:w="3150" w:type="dxa"/>
          </w:tcPr>
          <w:p w14:paraId="0F0AF937" w14:textId="77777777" w:rsidR="00D822A4" w:rsidRPr="00D822A4" w:rsidRDefault="00D822A4" w:rsidP="00D822A4">
            <w:pPr>
              <w:jc w:val="center"/>
              <w:rPr>
                <w:rFonts w:cstheme="minorHAnsi"/>
                <w:sz w:val="24"/>
                <w:szCs w:val="24"/>
              </w:rPr>
            </w:pPr>
            <w:r w:rsidRPr="00D822A4">
              <w:rPr>
                <w:rFonts w:cstheme="minorHAnsi"/>
                <w:sz w:val="24"/>
                <w:szCs w:val="24"/>
              </w:rPr>
              <w:t>Lucas</w:t>
            </w:r>
          </w:p>
        </w:tc>
        <w:tc>
          <w:tcPr>
            <w:tcW w:w="2065" w:type="dxa"/>
          </w:tcPr>
          <w:p w14:paraId="330764A9" w14:textId="731DCC9C" w:rsidR="00D822A4" w:rsidRPr="00D822A4" w:rsidRDefault="00D822A4" w:rsidP="00D822A4">
            <w:pPr>
              <w:jc w:val="center"/>
              <w:rPr>
                <w:rFonts w:cstheme="minorHAnsi"/>
                <w:sz w:val="24"/>
                <w:szCs w:val="24"/>
              </w:rPr>
            </w:pPr>
            <w:r w:rsidRPr="00D822A4">
              <w:rPr>
                <w:rFonts w:cstheme="minorHAnsi"/>
                <w:sz w:val="24"/>
                <w:szCs w:val="24"/>
              </w:rPr>
              <w:t>$133,500</w:t>
            </w:r>
          </w:p>
        </w:tc>
      </w:tr>
      <w:tr w:rsidR="00D822A4" w14:paraId="24815732" w14:textId="77777777" w:rsidTr="00FC668A">
        <w:tc>
          <w:tcPr>
            <w:tcW w:w="4135" w:type="dxa"/>
            <w:vAlign w:val="center"/>
          </w:tcPr>
          <w:p w14:paraId="248211E1" w14:textId="1B8F31B3" w:rsidR="00D822A4" w:rsidRPr="00D822A4" w:rsidRDefault="00D822A4" w:rsidP="00D822A4">
            <w:pPr>
              <w:jc w:val="center"/>
              <w:rPr>
                <w:rFonts w:cstheme="minorHAnsi"/>
                <w:sz w:val="24"/>
                <w:szCs w:val="24"/>
              </w:rPr>
            </w:pPr>
            <w:r w:rsidRPr="00D822A4">
              <w:rPr>
                <w:rFonts w:eastAsia="Times New Roman" w:cstheme="minorHAnsi"/>
                <w:color w:val="000000"/>
                <w:sz w:val="24"/>
                <w:szCs w:val="24"/>
              </w:rPr>
              <w:t>Washington Local Schools</w:t>
            </w:r>
          </w:p>
        </w:tc>
        <w:tc>
          <w:tcPr>
            <w:tcW w:w="3150" w:type="dxa"/>
            <w:vAlign w:val="center"/>
          </w:tcPr>
          <w:p w14:paraId="2CF4B0CB" w14:textId="5F7254B3" w:rsidR="00D822A4" w:rsidRPr="00D822A4" w:rsidRDefault="00D822A4" w:rsidP="00D822A4">
            <w:pPr>
              <w:jc w:val="center"/>
              <w:rPr>
                <w:rFonts w:cstheme="minorHAnsi"/>
                <w:sz w:val="24"/>
                <w:szCs w:val="24"/>
              </w:rPr>
            </w:pPr>
            <w:r w:rsidRPr="00D822A4">
              <w:rPr>
                <w:rFonts w:eastAsia="Times New Roman" w:cstheme="minorHAnsi"/>
                <w:color w:val="000000"/>
                <w:sz w:val="24"/>
                <w:szCs w:val="24"/>
              </w:rPr>
              <w:t>Lucas</w:t>
            </w:r>
          </w:p>
        </w:tc>
        <w:tc>
          <w:tcPr>
            <w:tcW w:w="2065" w:type="dxa"/>
            <w:vAlign w:val="center"/>
          </w:tcPr>
          <w:p w14:paraId="422F1D3C" w14:textId="41EC7D6B" w:rsidR="00D822A4" w:rsidRPr="00D822A4" w:rsidRDefault="00D822A4" w:rsidP="00D822A4">
            <w:pPr>
              <w:jc w:val="center"/>
              <w:rPr>
                <w:rFonts w:cstheme="minorHAnsi"/>
                <w:sz w:val="24"/>
                <w:szCs w:val="24"/>
              </w:rPr>
            </w:pPr>
            <w:r w:rsidRPr="00D822A4">
              <w:rPr>
                <w:rFonts w:eastAsia="Times New Roman" w:cstheme="minorHAnsi"/>
                <w:color w:val="000000"/>
                <w:sz w:val="24"/>
                <w:szCs w:val="24"/>
              </w:rPr>
              <w:t xml:space="preserve"> $111,250</w:t>
            </w:r>
          </w:p>
        </w:tc>
      </w:tr>
      <w:tr w:rsidR="00D822A4" w14:paraId="6BB7DD09" w14:textId="77777777" w:rsidTr="009F135C">
        <w:tc>
          <w:tcPr>
            <w:tcW w:w="4135" w:type="dxa"/>
            <w:vAlign w:val="center"/>
          </w:tcPr>
          <w:p w14:paraId="0D0261DF" w14:textId="67BCE13F" w:rsidR="00D822A4" w:rsidRPr="00D822A4" w:rsidRDefault="00D822A4" w:rsidP="00D822A4">
            <w:pPr>
              <w:jc w:val="center"/>
              <w:rPr>
                <w:rFonts w:cstheme="minorHAnsi"/>
                <w:sz w:val="24"/>
                <w:szCs w:val="24"/>
              </w:rPr>
            </w:pPr>
            <w:r w:rsidRPr="00D822A4">
              <w:rPr>
                <w:rFonts w:eastAsia="Times New Roman" w:cstheme="minorHAnsi"/>
                <w:color w:val="000000"/>
                <w:sz w:val="24"/>
                <w:szCs w:val="24"/>
              </w:rPr>
              <w:t>Marion City Schools</w:t>
            </w:r>
          </w:p>
        </w:tc>
        <w:tc>
          <w:tcPr>
            <w:tcW w:w="3150" w:type="dxa"/>
            <w:vAlign w:val="center"/>
          </w:tcPr>
          <w:p w14:paraId="2F7160F5" w14:textId="541A24A6" w:rsidR="00D822A4" w:rsidRPr="00D822A4" w:rsidRDefault="00D822A4" w:rsidP="00D822A4">
            <w:pPr>
              <w:jc w:val="center"/>
              <w:rPr>
                <w:rFonts w:cstheme="minorHAnsi"/>
                <w:sz w:val="24"/>
                <w:szCs w:val="24"/>
              </w:rPr>
            </w:pPr>
            <w:r w:rsidRPr="00D822A4">
              <w:rPr>
                <w:rFonts w:eastAsia="Times New Roman" w:cstheme="minorHAnsi"/>
                <w:color w:val="000000"/>
                <w:sz w:val="24"/>
                <w:szCs w:val="24"/>
              </w:rPr>
              <w:t>Marion</w:t>
            </w:r>
          </w:p>
        </w:tc>
        <w:tc>
          <w:tcPr>
            <w:tcW w:w="2065" w:type="dxa"/>
            <w:vAlign w:val="center"/>
          </w:tcPr>
          <w:p w14:paraId="2BA172A5" w14:textId="14DA88FA" w:rsidR="00D822A4" w:rsidRPr="00D822A4" w:rsidRDefault="00D822A4" w:rsidP="00D822A4">
            <w:pPr>
              <w:jc w:val="center"/>
              <w:rPr>
                <w:rFonts w:cstheme="minorHAnsi"/>
                <w:sz w:val="24"/>
                <w:szCs w:val="24"/>
              </w:rPr>
            </w:pPr>
            <w:r w:rsidRPr="00D822A4">
              <w:rPr>
                <w:rFonts w:eastAsia="Times New Roman" w:cstheme="minorHAnsi"/>
                <w:color w:val="000000"/>
                <w:sz w:val="24"/>
                <w:szCs w:val="24"/>
              </w:rPr>
              <w:t xml:space="preserve"> $37,600</w:t>
            </w:r>
          </w:p>
        </w:tc>
      </w:tr>
      <w:tr w:rsidR="00D822A4" w14:paraId="42ECD84C" w14:textId="77777777" w:rsidTr="00661219">
        <w:tc>
          <w:tcPr>
            <w:tcW w:w="4135" w:type="dxa"/>
          </w:tcPr>
          <w:p w14:paraId="33041559" w14:textId="39587EA0" w:rsidR="00D822A4" w:rsidRPr="00D822A4" w:rsidRDefault="00D822A4" w:rsidP="00D822A4">
            <w:pPr>
              <w:jc w:val="center"/>
              <w:rPr>
                <w:rFonts w:cstheme="minorHAnsi"/>
                <w:sz w:val="24"/>
                <w:szCs w:val="24"/>
              </w:rPr>
            </w:pPr>
            <w:r w:rsidRPr="00D822A4">
              <w:rPr>
                <w:rFonts w:cstheme="minorHAnsi"/>
                <w:sz w:val="24"/>
                <w:szCs w:val="24"/>
              </w:rPr>
              <w:t>Madison-Champaign Educational Service Center*</w:t>
            </w:r>
          </w:p>
        </w:tc>
        <w:tc>
          <w:tcPr>
            <w:tcW w:w="3150" w:type="dxa"/>
          </w:tcPr>
          <w:p w14:paraId="3EB3B479" w14:textId="77777777" w:rsidR="00D822A4" w:rsidRPr="00D822A4" w:rsidRDefault="00D822A4" w:rsidP="00D822A4">
            <w:pPr>
              <w:jc w:val="center"/>
              <w:rPr>
                <w:rFonts w:cstheme="minorHAnsi"/>
                <w:sz w:val="24"/>
                <w:szCs w:val="24"/>
              </w:rPr>
            </w:pPr>
            <w:r w:rsidRPr="00D822A4">
              <w:rPr>
                <w:rFonts w:cstheme="minorHAnsi"/>
                <w:sz w:val="24"/>
                <w:szCs w:val="24"/>
              </w:rPr>
              <w:t>Madison &amp; Champaign</w:t>
            </w:r>
          </w:p>
        </w:tc>
        <w:tc>
          <w:tcPr>
            <w:tcW w:w="2065" w:type="dxa"/>
          </w:tcPr>
          <w:p w14:paraId="0F1F6831" w14:textId="3D1B82FB" w:rsidR="00D822A4" w:rsidRPr="00D822A4" w:rsidRDefault="00D822A4" w:rsidP="00D822A4">
            <w:pPr>
              <w:jc w:val="center"/>
              <w:rPr>
                <w:rFonts w:cstheme="minorHAnsi"/>
                <w:sz w:val="24"/>
                <w:szCs w:val="24"/>
              </w:rPr>
            </w:pPr>
            <w:r w:rsidRPr="00D822A4">
              <w:rPr>
                <w:rFonts w:cstheme="minorHAnsi"/>
                <w:sz w:val="24"/>
                <w:szCs w:val="24"/>
              </w:rPr>
              <w:t>$66,755</w:t>
            </w:r>
          </w:p>
        </w:tc>
      </w:tr>
      <w:tr w:rsidR="00D822A4" w14:paraId="17A8DE5A" w14:textId="77777777" w:rsidTr="00EA46B1">
        <w:tc>
          <w:tcPr>
            <w:tcW w:w="4135" w:type="dxa"/>
            <w:vAlign w:val="center"/>
          </w:tcPr>
          <w:p w14:paraId="12963AD8" w14:textId="2BBF0501" w:rsidR="00D822A4" w:rsidRPr="00D822A4" w:rsidRDefault="00D822A4" w:rsidP="00D822A4">
            <w:pPr>
              <w:jc w:val="center"/>
              <w:rPr>
                <w:rFonts w:cstheme="minorHAnsi"/>
                <w:sz w:val="24"/>
                <w:szCs w:val="24"/>
              </w:rPr>
            </w:pPr>
            <w:r w:rsidRPr="00D822A4">
              <w:rPr>
                <w:rFonts w:eastAsia="Times New Roman" w:cstheme="minorHAnsi"/>
                <w:color w:val="000000"/>
                <w:sz w:val="24"/>
                <w:szCs w:val="24"/>
              </w:rPr>
              <w:t>Boardman Township Police Department</w:t>
            </w:r>
          </w:p>
        </w:tc>
        <w:tc>
          <w:tcPr>
            <w:tcW w:w="3150" w:type="dxa"/>
            <w:vAlign w:val="center"/>
          </w:tcPr>
          <w:p w14:paraId="285C3C4C" w14:textId="5A2FD1BA" w:rsidR="00D822A4" w:rsidRPr="00D822A4" w:rsidRDefault="00D822A4" w:rsidP="00D822A4">
            <w:pPr>
              <w:jc w:val="center"/>
              <w:rPr>
                <w:rFonts w:cstheme="minorHAnsi"/>
                <w:sz w:val="24"/>
                <w:szCs w:val="24"/>
              </w:rPr>
            </w:pPr>
            <w:r w:rsidRPr="00D822A4">
              <w:rPr>
                <w:rFonts w:eastAsia="Times New Roman" w:cstheme="minorHAnsi"/>
                <w:color w:val="000000"/>
                <w:sz w:val="24"/>
                <w:szCs w:val="24"/>
              </w:rPr>
              <w:t>Mahoning</w:t>
            </w:r>
          </w:p>
        </w:tc>
        <w:tc>
          <w:tcPr>
            <w:tcW w:w="2065" w:type="dxa"/>
            <w:vAlign w:val="center"/>
          </w:tcPr>
          <w:p w14:paraId="7582028D" w14:textId="7FFE71A3" w:rsidR="00D822A4" w:rsidRPr="00D822A4" w:rsidRDefault="00D822A4" w:rsidP="00D822A4">
            <w:pPr>
              <w:jc w:val="center"/>
              <w:rPr>
                <w:rFonts w:cstheme="minorHAnsi"/>
                <w:sz w:val="24"/>
                <w:szCs w:val="24"/>
              </w:rPr>
            </w:pPr>
            <w:r w:rsidRPr="00D822A4">
              <w:rPr>
                <w:rFonts w:eastAsia="Times New Roman" w:cstheme="minorHAnsi"/>
                <w:color w:val="000000"/>
                <w:sz w:val="24"/>
                <w:szCs w:val="24"/>
              </w:rPr>
              <w:t xml:space="preserve"> $147,885 </w:t>
            </w:r>
          </w:p>
        </w:tc>
      </w:tr>
      <w:tr w:rsidR="00D822A4" w14:paraId="6544B000" w14:textId="77777777" w:rsidTr="00346583">
        <w:tc>
          <w:tcPr>
            <w:tcW w:w="4135" w:type="dxa"/>
          </w:tcPr>
          <w:p w14:paraId="7FCB95C1" w14:textId="77777777" w:rsidR="00D822A4" w:rsidRPr="00D822A4" w:rsidRDefault="00D822A4" w:rsidP="00D822A4">
            <w:pPr>
              <w:jc w:val="center"/>
              <w:rPr>
                <w:rFonts w:cstheme="minorHAnsi"/>
                <w:sz w:val="24"/>
                <w:szCs w:val="24"/>
              </w:rPr>
            </w:pPr>
            <w:r w:rsidRPr="00D822A4">
              <w:rPr>
                <w:rFonts w:cstheme="minorHAnsi"/>
                <w:sz w:val="24"/>
                <w:szCs w:val="24"/>
              </w:rPr>
              <w:t>Educational Service Center of Eastern Ohio*</w:t>
            </w:r>
          </w:p>
        </w:tc>
        <w:tc>
          <w:tcPr>
            <w:tcW w:w="3150" w:type="dxa"/>
          </w:tcPr>
          <w:p w14:paraId="403CFFC1" w14:textId="15C80888" w:rsidR="00D822A4" w:rsidRPr="00D822A4" w:rsidRDefault="00D822A4" w:rsidP="00D822A4">
            <w:pPr>
              <w:jc w:val="center"/>
              <w:rPr>
                <w:rFonts w:cstheme="minorHAnsi"/>
                <w:sz w:val="24"/>
                <w:szCs w:val="24"/>
              </w:rPr>
            </w:pPr>
            <w:r w:rsidRPr="00D822A4">
              <w:rPr>
                <w:rFonts w:cstheme="minorHAnsi"/>
                <w:sz w:val="24"/>
                <w:szCs w:val="24"/>
              </w:rPr>
              <w:t>Mahoning</w:t>
            </w:r>
            <w:r w:rsidR="00D658CA">
              <w:rPr>
                <w:rFonts w:cstheme="minorHAnsi"/>
                <w:sz w:val="24"/>
                <w:szCs w:val="24"/>
              </w:rPr>
              <w:t>, Trumbull &amp; Columbiana</w:t>
            </w:r>
          </w:p>
        </w:tc>
        <w:tc>
          <w:tcPr>
            <w:tcW w:w="2065" w:type="dxa"/>
          </w:tcPr>
          <w:p w14:paraId="7F2C65A7" w14:textId="438F7A28" w:rsidR="00D822A4" w:rsidRPr="00D822A4" w:rsidRDefault="00D822A4" w:rsidP="00D822A4">
            <w:pPr>
              <w:jc w:val="center"/>
              <w:rPr>
                <w:rFonts w:cstheme="minorHAnsi"/>
                <w:sz w:val="24"/>
                <w:szCs w:val="24"/>
              </w:rPr>
            </w:pPr>
            <w:r w:rsidRPr="00D822A4">
              <w:rPr>
                <w:rFonts w:cstheme="minorHAnsi"/>
                <w:sz w:val="24"/>
                <w:szCs w:val="24"/>
              </w:rPr>
              <w:t>$227,200</w:t>
            </w:r>
          </w:p>
        </w:tc>
      </w:tr>
      <w:tr w:rsidR="00D822A4" w14:paraId="5260BD0E" w14:textId="77777777" w:rsidTr="00996711">
        <w:tc>
          <w:tcPr>
            <w:tcW w:w="4135" w:type="dxa"/>
          </w:tcPr>
          <w:p w14:paraId="0589FA0A" w14:textId="6A28CE2F" w:rsidR="00D822A4" w:rsidRPr="00D822A4" w:rsidRDefault="00D822A4" w:rsidP="00D822A4">
            <w:pPr>
              <w:jc w:val="center"/>
              <w:rPr>
                <w:rFonts w:cstheme="minorHAnsi"/>
                <w:sz w:val="24"/>
                <w:szCs w:val="24"/>
              </w:rPr>
            </w:pPr>
            <w:r w:rsidRPr="00D822A4">
              <w:rPr>
                <w:rFonts w:cstheme="minorHAnsi"/>
                <w:sz w:val="24"/>
                <w:szCs w:val="24"/>
              </w:rPr>
              <w:t>Mercer County Educational Service Center*</w:t>
            </w:r>
          </w:p>
        </w:tc>
        <w:tc>
          <w:tcPr>
            <w:tcW w:w="3150" w:type="dxa"/>
          </w:tcPr>
          <w:p w14:paraId="1949FAB2" w14:textId="219366FA" w:rsidR="00D822A4" w:rsidRPr="00D822A4" w:rsidRDefault="00D822A4" w:rsidP="00D822A4">
            <w:pPr>
              <w:jc w:val="center"/>
              <w:rPr>
                <w:rFonts w:cstheme="minorHAnsi"/>
                <w:sz w:val="24"/>
                <w:szCs w:val="24"/>
              </w:rPr>
            </w:pPr>
            <w:r w:rsidRPr="00D822A4">
              <w:rPr>
                <w:rFonts w:cstheme="minorHAnsi"/>
                <w:sz w:val="24"/>
                <w:szCs w:val="24"/>
              </w:rPr>
              <w:t>Mercer</w:t>
            </w:r>
          </w:p>
        </w:tc>
        <w:tc>
          <w:tcPr>
            <w:tcW w:w="2065" w:type="dxa"/>
          </w:tcPr>
          <w:p w14:paraId="462346D2" w14:textId="214D20BD" w:rsidR="00D822A4" w:rsidRPr="00D822A4" w:rsidRDefault="00D822A4" w:rsidP="00D822A4">
            <w:pPr>
              <w:jc w:val="center"/>
              <w:rPr>
                <w:rFonts w:cstheme="minorHAnsi"/>
                <w:sz w:val="24"/>
                <w:szCs w:val="24"/>
              </w:rPr>
            </w:pPr>
            <w:r w:rsidRPr="00D822A4">
              <w:rPr>
                <w:rFonts w:cstheme="minorHAnsi"/>
                <w:sz w:val="24"/>
                <w:szCs w:val="24"/>
              </w:rPr>
              <w:t>$24,750</w:t>
            </w:r>
          </w:p>
        </w:tc>
      </w:tr>
      <w:tr w:rsidR="00D822A4" w14:paraId="45C92047" w14:textId="77777777" w:rsidTr="00B52092">
        <w:tc>
          <w:tcPr>
            <w:tcW w:w="4135" w:type="dxa"/>
            <w:vAlign w:val="center"/>
          </w:tcPr>
          <w:p w14:paraId="1A076381" w14:textId="2DD50EAF" w:rsidR="00D822A4" w:rsidRPr="00D822A4" w:rsidRDefault="00D822A4" w:rsidP="00D822A4">
            <w:pPr>
              <w:jc w:val="center"/>
              <w:rPr>
                <w:rFonts w:cstheme="minorHAnsi"/>
                <w:sz w:val="24"/>
                <w:szCs w:val="24"/>
              </w:rPr>
            </w:pPr>
            <w:r w:rsidRPr="00D822A4">
              <w:rPr>
                <w:rFonts w:eastAsia="Times New Roman" w:cstheme="minorHAnsi"/>
                <w:color w:val="000000"/>
                <w:sz w:val="24"/>
                <w:szCs w:val="24"/>
              </w:rPr>
              <w:t>Kettering City Schools</w:t>
            </w:r>
          </w:p>
        </w:tc>
        <w:tc>
          <w:tcPr>
            <w:tcW w:w="3150" w:type="dxa"/>
            <w:vAlign w:val="center"/>
          </w:tcPr>
          <w:p w14:paraId="2880FE97" w14:textId="61A10B11" w:rsidR="00D822A4" w:rsidRPr="00D822A4" w:rsidRDefault="00D822A4" w:rsidP="00D822A4">
            <w:pPr>
              <w:jc w:val="center"/>
              <w:rPr>
                <w:rFonts w:cstheme="minorHAnsi"/>
                <w:sz w:val="24"/>
                <w:szCs w:val="24"/>
              </w:rPr>
            </w:pPr>
            <w:r w:rsidRPr="00D822A4">
              <w:rPr>
                <w:rFonts w:eastAsia="Times New Roman" w:cstheme="minorHAnsi"/>
                <w:color w:val="000000"/>
                <w:sz w:val="24"/>
                <w:szCs w:val="24"/>
              </w:rPr>
              <w:t>Montgomery</w:t>
            </w:r>
          </w:p>
        </w:tc>
        <w:tc>
          <w:tcPr>
            <w:tcW w:w="2065" w:type="dxa"/>
            <w:vAlign w:val="center"/>
          </w:tcPr>
          <w:p w14:paraId="77B3BF91" w14:textId="533EB93C" w:rsidR="00D822A4" w:rsidRPr="00D822A4" w:rsidRDefault="00D822A4" w:rsidP="00D822A4">
            <w:pPr>
              <w:jc w:val="center"/>
              <w:rPr>
                <w:rFonts w:cstheme="minorHAnsi"/>
                <w:sz w:val="24"/>
                <w:szCs w:val="24"/>
              </w:rPr>
            </w:pPr>
            <w:r w:rsidRPr="00D822A4">
              <w:rPr>
                <w:rFonts w:eastAsia="Times New Roman" w:cstheme="minorHAnsi"/>
                <w:color w:val="000000"/>
                <w:sz w:val="24"/>
                <w:szCs w:val="24"/>
              </w:rPr>
              <w:t xml:space="preserve"> $12,600</w:t>
            </w:r>
          </w:p>
        </w:tc>
      </w:tr>
      <w:tr w:rsidR="00D822A4" w14:paraId="343F0E89" w14:textId="77777777" w:rsidTr="00B52092">
        <w:tc>
          <w:tcPr>
            <w:tcW w:w="4135" w:type="dxa"/>
            <w:vAlign w:val="center"/>
          </w:tcPr>
          <w:p w14:paraId="0B69AC78" w14:textId="658984B0" w:rsidR="00D822A4" w:rsidRPr="00D822A4" w:rsidRDefault="00D822A4" w:rsidP="00D822A4">
            <w:pPr>
              <w:jc w:val="center"/>
              <w:rPr>
                <w:rFonts w:eastAsia="Times New Roman" w:cstheme="minorHAnsi"/>
                <w:color w:val="000000"/>
                <w:sz w:val="24"/>
                <w:szCs w:val="24"/>
              </w:rPr>
            </w:pPr>
            <w:r w:rsidRPr="00D822A4">
              <w:rPr>
                <w:rFonts w:eastAsia="Times New Roman" w:cstheme="minorHAnsi"/>
                <w:color w:val="000000"/>
                <w:sz w:val="24"/>
                <w:szCs w:val="24"/>
              </w:rPr>
              <w:t>Muskingum Valley ESC</w:t>
            </w:r>
          </w:p>
        </w:tc>
        <w:tc>
          <w:tcPr>
            <w:tcW w:w="3150" w:type="dxa"/>
            <w:vAlign w:val="center"/>
          </w:tcPr>
          <w:p w14:paraId="700A31A9" w14:textId="26F4C932" w:rsidR="00D822A4" w:rsidRPr="00D822A4" w:rsidRDefault="00D822A4" w:rsidP="00D822A4">
            <w:pPr>
              <w:jc w:val="center"/>
              <w:rPr>
                <w:rFonts w:eastAsia="Times New Roman" w:cstheme="minorHAnsi"/>
                <w:color w:val="000000"/>
                <w:sz w:val="24"/>
                <w:szCs w:val="24"/>
              </w:rPr>
            </w:pPr>
            <w:r w:rsidRPr="00D822A4">
              <w:rPr>
                <w:rFonts w:eastAsia="Times New Roman" w:cstheme="minorHAnsi"/>
                <w:color w:val="000000"/>
                <w:sz w:val="24"/>
                <w:szCs w:val="24"/>
              </w:rPr>
              <w:t>Muskingum</w:t>
            </w:r>
            <w:r w:rsidR="00D658CA">
              <w:rPr>
                <w:rFonts w:eastAsia="Times New Roman" w:cstheme="minorHAnsi"/>
                <w:color w:val="000000"/>
                <w:sz w:val="24"/>
                <w:szCs w:val="24"/>
              </w:rPr>
              <w:t>, Hardin, Crawford, Fairfield, Fulton, Logan &amp; Richland</w:t>
            </w:r>
          </w:p>
        </w:tc>
        <w:tc>
          <w:tcPr>
            <w:tcW w:w="2065" w:type="dxa"/>
            <w:vAlign w:val="center"/>
          </w:tcPr>
          <w:p w14:paraId="522017D4" w14:textId="03CBA971" w:rsidR="00D822A4" w:rsidRPr="00D822A4" w:rsidRDefault="00D822A4" w:rsidP="00D822A4">
            <w:pPr>
              <w:jc w:val="center"/>
              <w:rPr>
                <w:rFonts w:eastAsia="Times New Roman" w:cstheme="minorHAnsi"/>
                <w:color w:val="000000"/>
                <w:sz w:val="24"/>
                <w:szCs w:val="24"/>
              </w:rPr>
            </w:pPr>
            <w:r w:rsidRPr="00D822A4">
              <w:rPr>
                <w:rFonts w:eastAsia="Times New Roman" w:cstheme="minorHAnsi"/>
                <w:color w:val="000000"/>
                <w:sz w:val="24"/>
                <w:szCs w:val="24"/>
              </w:rPr>
              <w:t xml:space="preserve"> $44,400</w:t>
            </w:r>
          </w:p>
        </w:tc>
      </w:tr>
      <w:tr w:rsidR="00D658CA" w14:paraId="31BF453F" w14:textId="77777777" w:rsidTr="008902E4">
        <w:tc>
          <w:tcPr>
            <w:tcW w:w="4135" w:type="dxa"/>
            <w:vAlign w:val="center"/>
          </w:tcPr>
          <w:p w14:paraId="18776769" w14:textId="77777777" w:rsidR="00D658CA" w:rsidRPr="00D822A4" w:rsidRDefault="00D658CA" w:rsidP="008902E4">
            <w:pPr>
              <w:jc w:val="center"/>
              <w:rPr>
                <w:rFonts w:eastAsia="Times New Roman" w:cstheme="minorHAnsi"/>
                <w:color w:val="000000"/>
                <w:sz w:val="24"/>
                <w:szCs w:val="24"/>
              </w:rPr>
            </w:pPr>
            <w:r w:rsidRPr="00D822A4">
              <w:rPr>
                <w:rFonts w:eastAsia="Times New Roman" w:cstheme="minorHAnsi"/>
                <w:color w:val="000000"/>
                <w:sz w:val="24"/>
                <w:szCs w:val="24"/>
              </w:rPr>
              <w:t>Pickaway County General Health District</w:t>
            </w:r>
          </w:p>
        </w:tc>
        <w:tc>
          <w:tcPr>
            <w:tcW w:w="3150" w:type="dxa"/>
            <w:vAlign w:val="center"/>
          </w:tcPr>
          <w:p w14:paraId="37C6DE5E" w14:textId="77777777" w:rsidR="00D658CA" w:rsidRPr="00D822A4" w:rsidRDefault="00D658CA" w:rsidP="008902E4">
            <w:pPr>
              <w:jc w:val="center"/>
              <w:rPr>
                <w:rFonts w:eastAsia="Times New Roman" w:cstheme="minorHAnsi"/>
                <w:color w:val="000000"/>
                <w:sz w:val="24"/>
                <w:szCs w:val="24"/>
              </w:rPr>
            </w:pPr>
            <w:r>
              <w:rPr>
                <w:rFonts w:eastAsia="Times New Roman" w:cstheme="minorHAnsi"/>
                <w:color w:val="000000"/>
                <w:sz w:val="24"/>
                <w:szCs w:val="24"/>
              </w:rPr>
              <w:t xml:space="preserve">Pickaway &amp; </w:t>
            </w:r>
            <w:r w:rsidRPr="00D822A4">
              <w:rPr>
                <w:rFonts w:eastAsia="Times New Roman" w:cstheme="minorHAnsi"/>
                <w:color w:val="000000"/>
                <w:sz w:val="24"/>
                <w:szCs w:val="24"/>
              </w:rPr>
              <w:t>Ross</w:t>
            </w:r>
          </w:p>
        </w:tc>
        <w:tc>
          <w:tcPr>
            <w:tcW w:w="2065" w:type="dxa"/>
            <w:vAlign w:val="center"/>
          </w:tcPr>
          <w:p w14:paraId="634D90F7" w14:textId="2DA91464" w:rsidR="00D658CA" w:rsidRPr="00D822A4" w:rsidRDefault="00D658CA" w:rsidP="008902E4">
            <w:pPr>
              <w:jc w:val="center"/>
              <w:rPr>
                <w:rFonts w:eastAsia="Times New Roman" w:cstheme="minorHAnsi"/>
                <w:color w:val="000000"/>
                <w:sz w:val="24"/>
                <w:szCs w:val="24"/>
              </w:rPr>
            </w:pPr>
            <w:r w:rsidRPr="00D822A4">
              <w:rPr>
                <w:rFonts w:eastAsia="Times New Roman" w:cstheme="minorHAnsi"/>
                <w:color w:val="000000"/>
                <w:sz w:val="24"/>
                <w:szCs w:val="24"/>
              </w:rPr>
              <w:t xml:space="preserve"> $61,560</w:t>
            </w:r>
          </w:p>
        </w:tc>
      </w:tr>
      <w:tr w:rsidR="00D822A4" w14:paraId="4263568B" w14:textId="77777777" w:rsidTr="00703809">
        <w:tc>
          <w:tcPr>
            <w:tcW w:w="4135" w:type="dxa"/>
            <w:vAlign w:val="center"/>
          </w:tcPr>
          <w:p w14:paraId="53664D19" w14:textId="6CB423A7" w:rsidR="00D822A4" w:rsidRPr="00D822A4" w:rsidRDefault="00D822A4" w:rsidP="00D822A4">
            <w:pPr>
              <w:jc w:val="center"/>
              <w:rPr>
                <w:rFonts w:cstheme="minorHAnsi"/>
                <w:sz w:val="24"/>
                <w:szCs w:val="24"/>
              </w:rPr>
            </w:pPr>
            <w:r w:rsidRPr="00D822A4">
              <w:rPr>
                <w:rFonts w:eastAsia="Times New Roman" w:cstheme="minorHAnsi"/>
                <w:color w:val="000000"/>
                <w:sz w:val="24"/>
                <w:szCs w:val="24"/>
              </w:rPr>
              <w:t>Mansfield Sr. High School</w:t>
            </w:r>
          </w:p>
        </w:tc>
        <w:tc>
          <w:tcPr>
            <w:tcW w:w="3150" w:type="dxa"/>
            <w:vAlign w:val="center"/>
          </w:tcPr>
          <w:p w14:paraId="16A88A22" w14:textId="55C89F13" w:rsidR="00D822A4" w:rsidRPr="00D822A4" w:rsidRDefault="00D822A4" w:rsidP="00D822A4">
            <w:pPr>
              <w:jc w:val="center"/>
              <w:rPr>
                <w:rFonts w:cstheme="minorHAnsi"/>
                <w:sz w:val="24"/>
                <w:szCs w:val="24"/>
              </w:rPr>
            </w:pPr>
            <w:r w:rsidRPr="00D822A4">
              <w:rPr>
                <w:rFonts w:eastAsia="Times New Roman" w:cstheme="minorHAnsi"/>
                <w:color w:val="000000"/>
                <w:sz w:val="24"/>
                <w:szCs w:val="24"/>
              </w:rPr>
              <w:t>Richland</w:t>
            </w:r>
          </w:p>
        </w:tc>
        <w:tc>
          <w:tcPr>
            <w:tcW w:w="2065" w:type="dxa"/>
            <w:vAlign w:val="center"/>
          </w:tcPr>
          <w:p w14:paraId="5AC7E9DB" w14:textId="36119B40" w:rsidR="00D822A4" w:rsidRPr="00D822A4" w:rsidRDefault="00D822A4" w:rsidP="00D822A4">
            <w:pPr>
              <w:jc w:val="center"/>
              <w:rPr>
                <w:rFonts w:cstheme="minorHAnsi"/>
                <w:sz w:val="24"/>
                <w:szCs w:val="24"/>
              </w:rPr>
            </w:pPr>
            <w:r w:rsidRPr="00D822A4">
              <w:rPr>
                <w:rFonts w:eastAsia="Times New Roman" w:cstheme="minorHAnsi"/>
                <w:color w:val="000000"/>
                <w:sz w:val="24"/>
                <w:szCs w:val="24"/>
              </w:rPr>
              <w:t xml:space="preserve"> $46,350</w:t>
            </w:r>
          </w:p>
        </w:tc>
      </w:tr>
      <w:tr w:rsidR="00D822A4" w14:paraId="1E014127" w14:textId="77777777" w:rsidTr="00590F18">
        <w:tc>
          <w:tcPr>
            <w:tcW w:w="4135" w:type="dxa"/>
            <w:vAlign w:val="center"/>
          </w:tcPr>
          <w:p w14:paraId="713D49BB" w14:textId="511DABCE" w:rsidR="00D822A4" w:rsidRPr="00D822A4" w:rsidRDefault="00D822A4" w:rsidP="00D822A4">
            <w:pPr>
              <w:jc w:val="center"/>
              <w:rPr>
                <w:rFonts w:cstheme="minorHAnsi"/>
                <w:sz w:val="24"/>
                <w:szCs w:val="24"/>
              </w:rPr>
            </w:pPr>
            <w:r w:rsidRPr="00D822A4">
              <w:rPr>
                <w:rFonts w:eastAsia="Times New Roman" w:cstheme="minorHAnsi"/>
                <w:color w:val="000000"/>
                <w:sz w:val="24"/>
                <w:szCs w:val="24"/>
              </w:rPr>
              <w:t xml:space="preserve">Pickaway- Ross Joint Vocational School </w:t>
            </w:r>
          </w:p>
        </w:tc>
        <w:tc>
          <w:tcPr>
            <w:tcW w:w="3150" w:type="dxa"/>
            <w:vAlign w:val="center"/>
          </w:tcPr>
          <w:p w14:paraId="57427076" w14:textId="7A54EA54" w:rsidR="00D822A4" w:rsidRPr="00D822A4" w:rsidRDefault="00D822A4" w:rsidP="00D822A4">
            <w:pPr>
              <w:jc w:val="center"/>
              <w:rPr>
                <w:rFonts w:cstheme="minorHAnsi"/>
                <w:sz w:val="24"/>
                <w:szCs w:val="24"/>
              </w:rPr>
            </w:pPr>
            <w:r w:rsidRPr="00D822A4">
              <w:rPr>
                <w:rFonts w:eastAsia="Times New Roman" w:cstheme="minorHAnsi"/>
                <w:color w:val="000000"/>
                <w:sz w:val="24"/>
                <w:szCs w:val="24"/>
              </w:rPr>
              <w:t>Ross</w:t>
            </w:r>
          </w:p>
        </w:tc>
        <w:tc>
          <w:tcPr>
            <w:tcW w:w="2065" w:type="dxa"/>
            <w:vAlign w:val="center"/>
          </w:tcPr>
          <w:p w14:paraId="2AE13D81" w14:textId="02FAB751" w:rsidR="00D822A4" w:rsidRPr="00D822A4" w:rsidRDefault="00D822A4" w:rsidP="00D822A4">
            <w:pPr>
              <w:jc w:val="center"/>
              <w:rPr>
                <w:rFonts w:cstheme="minorHAnsi"/>
                <w:sz w:val="24"/>
                <w:szCs w:val="24"/>
              </w:rPr>
            </w:pPr>
            <w:r w:rsidRPr="00D822A4">
              <w:rPr>
                <w:rFonts w:eastAsia="Times New Roman" w:cstheme="minorHAnsi"/>
                <w:color w:val="000000"/>
                <w:sz w:val="24"/>
                <w:szCs w:val="24"/>
              </w:rPr>
              <w:t xml:space="preserve"> $72,280</w:t>
            </w:r>
          </w:p>
        </w:tc>
      </w:tr>
      <w:tr w:rsidR="00D822A4" w14:paraId="009C4A17" w14:textId="77777777" w:rsidTr="00590F18">
        <w:tc>
          <w:tcPr>
            <w:tcW w:w="4135" w:type="dxa"/>
            <w:vAlign w:val="center"/>
          </w:tcPr>
          <w:p w14:paraId="6FEA0F75" w14:textId="2C8BA8E8" w:rsidR="00D822A4" w:rsidRPr="00D822A4" w:rsidRDefault="00D822A4" w:rsidP="00D822A4">
            <w:pPr>
              <w:jc w:val="center"/>
              <w:rPr>
                <w:rFonts w:eastAsia="Times New Roman" w:cstheme="minorHAnsi"/>
                <w:color w:val="000000"/>
                <w:sz w:val="24"/>
                <w:szCs w:val="24"/>
              </w:rPr>
            </w:pPr>
            <w:r w:rsidRPr="00D822A4">
              <w:rPr>
                <w:rFonts w:eastAsia="Times New Roman" w:cstheme="minorHAnsi"/>
                <w:color w:val="000000"/>
                <w:sz w:val="24"/>
                <w:szCs w:val="24"/>
              </w:rPr>
              <w:t>Stark County Educational Service Center</w:t>
            </w:r>
          </w:p>
        </w:tc>
        <w:tc>
          <w:tcPr>
            <w:tcW w:w="3150" w:type="dxa"/>
            <w:vAlign w:val="center"/>
          </w:tcPr>
          <w:p w14:paraId="015FF80A" w14:textId="5F0E77A7" w:rsidR="00D822A4" w:rsidRPr="00D822A4" w:rsidRDefault="00D822A4" w:rsidP="00D822A4">
            <w:pPr>
              <w:jc w:val="center"/>
              <w:rPr>
                <w:rFonts w:eastAsia="Times New Roman" w:cstheme="minorHAnsi"/>
                <w:color w:val="000000"/>
                <w:sz w:val="24"/>
                <w:szCs w:val="24"/>
              </w:rPr>
            </w:pPr>
            <w:r w:rsidRPr="00D822A4">
              <w:rPr>
                <w:rFonts w:eastAsia="Times New Roman" w:cstheme="minorHAnsi"/>
                <w:color w:val="000000"/>
                <w:sz w:val="24"/>
                <w:szCs w:val="24"/>
              </w:rPr>
              <w:t>Stark</w:t>
            </w:r>
            <w:r w:rsidR="00D658CA">
              <w:rPr>
                <w:rFonts w:eastAsia="Times New Roman" w:cstheme="minorHAnsi"/>
                <w:color w:val="000000"/>
                <w:sz w:val="24"/>
                <w:szCs w:val="24"/>
              </w:rPr>
              <w:t xml:space="preserve"> &amp; Carroll</w:t>
            </w:r>
          </w:p>
        </w:tc>
        <w:tc>
          <w:tcPr>
            <w:tcW w:w="2065" w:type="dxa"/>
            <w:vAlign w:val="center"/>
          </w:tcPr>
          <w:p w14:paraId="59BB46E9" w14:textId="5A97FC7C" w:rsidR="00D822A4" w:rsidRPr="00D822A4" w:rsidRDefault="00D822A4" w:rsidP="00D822A4">
            <w:pPr>
              <w:jc w:val="center"/>
              <w:rPr>
                <w:rFonts w:eastAsia="Times New Roman" w:cstheme="minorHAnsi"/>
                <w:color w:val="000000"/>
                <w:sz w:val="24"/>
                <w:szCs w:val="24"/>
              </w:rPr>
            </w:pPr>
            <w:r w:rsidRPr="00D822A4">
              <w:rPr>
                <w:rFonts w:eastAsia="Times New Roman" w:cstheme="minorHAnsi"/>
                <w:color w:val="000000"/>
                <w:sz w:val="24"/>
                <w:szCs w:val="24"/>
              </w:rPr>
              <w:t xml:space="preserve"> $98,750</w:t>
            </w:r>
          </w:p>
        </w:tc>
      </w:tr>
      <w:tr w:rsidR="00D822A4" w14:paraId="2FCD4EFC" w14:textId="77777777" w:rsidTr="006D569E">
        <w:tc>
          <w:tcPr>
            <w:tcW w:w="4135" w:type="dxa"/>
          </w:tcPr>
          <w:p w14:paraId="1B6C679D" w14:textId="77777777" w:rsidR="00D822A4" w:rsidRPr="00D822A4" w:rsidRDefault="00D822A4" w:rsidP="00D822A4">
            <w:pPr>
              <w:jc w:val="center"/>
              <w:rPr>
                <w:rFonts w:cstheme="minorHAnsi"/>
                <w:sz w:val="24"/>
                <w:szCs w:val="24"/>
              </w:rPr>
            </w:pPr>
            <w:r w:rsidRPr="00D822A4">
              <w:rPr>
                <w:rFonts w:cstheme="minorHAnsi"/>
                <w:sz w:val="24"/>
                <w:szCs w:val="24"/>
              </w:rPr>
              <w:t>Akron Public Schools*</w:t>
            </w:r>
          </w:p>
        </w:tc>
        <w:tc>
          <w:tcPr>
            <w:tcW w:w="3150" w:type="dxa"/>
          </w:tcPr>
          <w:p w14:paraId="28CFAB82" w14:textId="77777777" w:rsidR="00D822A4" w:rsidRPr="00D822A4" w:rsidRDefault="00D822A4" w:rsidP="00D822A4">
            <w:pPr>
              <w:jc w:val="center"/>
              <w:rPr>
                <w:rFonts w:cstheme="minorHAnsi"/>
                <w:sz w:val="24"/>
                <w:szCs w:val="24"/>
              </w:rPr>
            </w:pPr>
            <w:r w:rsidRPr="00D822A4">
              <w:rPr>
                <w:rFonts w:cstheme="minorHAnsi"/>
                <w:sz w:val="24"/>
                <w:szCs w:val="24"/>
              </w:rPr>
              <w:t>Summit</w:t>
            </w:r>
          </w:p>
        </w:tc>
        <w:tc>
          <w:tcPr>
            <w:tcW w:w="2065" w:type="dxa"/>
          </w:tcPr>
          <w:p w14:paraId="41F359EA" w14:textId="754A1F03" w:rsidR="00D822A4" w:rsidRPr="00D822A4" w:rsidRDefault="00D822A4" w:rsidP="00D822A4">
            <w:pPr>
              <w:jc w:val="center"/>
              <w:rPr>
                <w:rFonts w:cstheme="minorHAnsi"/>
                <w:sz w:val="24"/>
                <w:szCs w:val="24"/>
              </w:rPr>
            </w:pPr>
            <w:r w:rsidRPr="00D822A4">
              <w:rPr>
                <w:rFonts w:cstheme="minorHAnsi"/>
                <w:sz w:val="24"/>
                <w:szCs w:val="24"/>
              </w:rPr>
              <w:t>$134,00</w:t>
            </w:r>
            <w:r w:rsidR="006439EA">
              <w:rPr>
                <w:rFonts w:cstheme="minorHAnsi"/>
                <w:sz w:val="24"/>
                <w:szCs w:val="24"/>
              </w:rPr>
              <w:t>0</w:t>
            </w:r>
          </w:p>
        </w:tc>
      </w:tr>
      <w:tr w:rsidR="00D822A4" w14:paraId="33FF1F61" w14:textId="77777777" w:rsidTr="00100C45">
        <w:tc>
          <w:tcPr>
            <w:tcW w:w="4135" w:type="dxa"/>
          </w:tcPr>
          <w:p w14:paraId="15696F6C" w14:textId="6DB8DC67" w:rsidR="00D822A4" w:rsidRPr="00D822A4" w:rsidRDefault="00D822A4" w:rsidP="00D822A4">
            <w:pPr>
              <w:jc w:val="center"/>
              <w:rPr>
                <w:rFonts w:cstheme="minorHAnsi"/>
                <w:sz w:val="24"/>
                <w:szCs w:val="24"/>
              </w:rPr>
            </w:pPr>
            <w:r w:rsidRPr="00D822A4">
              <w:rPr>
                <w:rFonts w:cstheme="minorHAnsi"/>
                <w:sz w:val="24"/>
                <w:szCs w:val="24"/>
              </w:rPr>
              <w:t>East Central Ohio Educational Service Center</w:t>
            </w:r>
          </w:p>
        </w:tc>
        <w:tc>
          <w:tcPr>
            <w:tcW w:w="3150" w:type="dxa"/>
          </w:tcPr>
          <w:p w14:paraId="08E43006" w14:textId="1A273EAE" w:rsidR="00D822A4" w:rsidRPr="00D822A4" w:rsidRDefault="00D822A4" w:rsidP="00D822A4">
            <w:pPr>
              <w:jc w:val="center"/>
              <w:rPr>
                <w:rFonts w:cstheme="minorHAnsi"/>
                <w:sz w:val="24"/>
                <w:szCs w:val="24"/>
              </w:rPr>
            </w:pPr>
            <w:r w:rsidRPr="00D822A4">
              <w:rPr>
                <w:rFonts w:cstheme="minorHAnsi"/>
                <w:sz w:val="24"/>
                <w:szCs w:val="24"/>
              </w:rPr>
              <w:t>Tuscarawas</w:t>
            </w:r>
            <w:r w:rsidR="00D658CA">
              <w:rPr>
                <w:rFonts w:cstheme="minorHAnsi"/>
                <w:sz w:val="24"/>
                <w:szCs w:val="24"/>
              </w:rPr>
              <w:t>, Belmont, Carroll &amp; Stark</w:t>
            </w:r>
          </w:p>
        </w:tc>
        <w:tc>
          <w:tcPr>
            <w:tcW w:w="2065" w:type="dxa"/>
          </w:tcPr>
          <w:p w14:paraId="3512F99F" w14:textId="7C317A99" w:rsidR="00D822A4" w:rsidRPr="00D822A4" w:rsidRDefault="00D822A4" w:rsidP="00D822A4">
            <w:pPr>
              <w:jc w:val="center"/>
              <w:rPr>
                <w:rFonts w:cstheme="minorHAnsi"/>
                <w:sz w:val="24"/>
                <w:szCs w:val="24"/>
              </w:rPr>
            </w:pPr>
            <w:r w:rsidRPr="00D822A4">
              <w:rPr>
                <w:rFonts w:cstheme="minorHAnsi"/>
                <w:sz w:val="24"/>
                <w:szCs w:val="24"/>
              </w:rPr>
              <w:t>$64,750</w:t>
            </w:r>
          </w:p>
        </w:tc>
      </w:tr>
      <w:tr w:rsidR="00D822A4" w14:paraId="610DAE50" w14:textId="77777777" w:rsidTr="00DB7E16">
        <w:tc>
          <w:tcPr>
            <w:tcW w:w="4135" w:type="dxa"/>
            <w:vAlign w:val="center"/>
          </w:tcPr>
          <w:p w14:paraId="659BBDD9" w14:textId="2DFA9546" w:rsidR="00D822A4" w:rsidRPr="00D822A4" w:rsidRDefault="00D822A4" w:rsidP="00D822A4">
            <w:pPr>
              <w:jc w:val="center"/>
              <w:rPr>
                <w:rFonts w:cstheme="minorHAnsi"/>
                <w:sz w:val="24"/>
                <w:szCs w:val="24"/>
              </w:rPr>
            </w:pPr>
            <w:r w:rsidRPr="00D822A4">
              <w:rPr>
                <w:rFonts w:eastAsia="Times New Roman" w:cstheme="minorHAnsi"/>
                <w:color w:val="000000"/>
                <w:sz w:val="24"/>
                <w:szCs w:val="24"/>
              </w:rPr>
              <w:t>Warren County Family and Children First Council</w:t>
            </w:r>
          </w:p>
        </w:tc>
        <w:tc>
          <w:tcPr>
            <w:tcW w:w="3150" w:type="dxa"/>
            <w:vAlign w:val="center"/>
          </w:tcPr>
          <w:p w14:paraId="22CF0EF1" w14:textId="36F31C3F" w:rsidR="00D822A4" w:rsidRPr="00D822A4" w:rsidRDefault="00D822A4" w:rsidP="00D822A4">
            <w:pPr>
              <w:jc w:val="center"/>
              <w:rPr>
                <w:rFonts w:cstheme="minorHAnsi"/>
                <w:sz w:val="24"/>
                <w:szCs w:val="24"/>
              </w:rPr>
            </w:pPr>
            <w:r w:rsidRPr="00D822A4">
              <w:rPr>
                <w:rFonts w:eastAsia="Times New Roman" w:cstheme="minorHAnsi"/>
                <w:color w:val="000000"/>
                <w:sz w:val="24"/>
                <w:szCs w:val="24"/>
              </w:rPr>
              <w:t xml:space="preserve">Warren </w:t>
            </w:r>
            <w:r w:rsidR="00D658CA">
              <w:rPr>
                <w:rFonts w:eastAsia="Times New Roman" w:cstheme="minorHAnsi"/>
                <w:color w:val="000000"/>
                <w:sz w:val="24"/>
                <w:szCs w:val="24"/>
              </w:rPr>
              <w:t>&amp; Montgomery</w:t>
            </w:r>
          </w:p>
        </w:tc>
        <w:tc>
          <w:tcPr>
            <w:tcW w:w="2065" w:type="dxa"/>
            <w:vAlign w:val="center"/>
          </w:tcPr>
          <w:p w14:paraId="7C7CF69C" w14:textId="75A3EF95" w:rsidR="00D822A4" w:rsidRPr="00D822A4" w:rsidRDefault="00D822A4" w:rsidP="00D822A4">
            <w:pPr>
              <w:jc w:val="center"/>
              <w:rPr>
                <w:rFonts w:cstheme="minorHAnsi"/>
                <w:sz w:val="24"/>
                <w:szCs w:val="24"/>
              </w:rPr>
            </w:pPr>
            <w:r w:rsidRPr="00D822A4">
              <w:rPr>
                <w:rFonts w:eastAsia="Times New Roman" w:cstheme="minorHAnsi"/>
                <w:color w:val="000000"/>
                <w:sz w:val="24"/>
                <w:szCs w:val="24"/>
              </w:rPr>
              <w:t xml:space="preserve"> $33,450</w:t>
            </w:r>
          </w:p>
        </w:tc>
      </w:tr>
    </w:tbl>
    <w:p w14:paraId="347F8D50" w14:textId="11045726" w:rsidR="00BE4BBF" w:rsidRDefault="0072001E" w:rsidP="005A599D">
      <w:pPr>
        <w:rPr>
          <w:rFonts w:cstheme="minorHAnsi"/>
          <w:sz w:val="24"/>
          <w:szCs w:val="24"/>
        </w:rPr>
      </w:pPr>
      <w:r>
        <w:rPr>
          <w:rFonts w:cstheme="minorHAnsi"/>
          <w:sz w:val="24"/>
          <w:szCs w:val="24"/>
        </w:rPr>
        <w:t>*</w:t>
      </w:r>
      <w:r>
        <w:rPr>
          <w:rFonts w:cstheme="minorHAnsi"/>
          <w:i/>
          <w:iCs/>
          <w:sz w:val="24"/>
          <w:szCs w:val="24"/>
        </w:rPr>
        <w:t>Previous “Drive to Succeed” grant recipient</w:t>
      </w:r>
    </w:p>
    <w:p w14:paraId="0045065A" w14:textId="2E2E0693" w:rsidR="00394A87" w:rsidRDefault="00394A87" w:rsidP="005A599D">
      <w:pPr>
        <w:rPr>
          <w:sz w:val="24"/>
          <w:szCs w:val="24"/>
        </w:rPr>
      </w:pPr>
      <w:r>
        <w:rPr>
          <w:sz w:val="24"/>
          <w:szCs w:val="24"/>
        </w:rPr>
        <w:t>“</w:t>
      </w:r>
      <w:r w:rsidR="00F15C88">
        <w:rPr>
          <w:sz w:val="24"/>
          <w:szCs w:val="24"/>
        </w:rPr>
        <w:t>We know about half of Ohio teens obtain their driver’s license before they turn 18 which means they completed the mandatory requirements for licensure under Ohio law</w:t>
      </w:r>
      <w:r>
        <w:rPr>
          <w:sz w:val="24"/>
          <w:szCs w:val="24"/>
        </w:rPr>
        <w:t xml:space="preserve">,” </w:t>
      </w:r>
      <w:r w:rsidR="00D619DF">
        <w:rPr>
          <w:rFonts w:cstheme="minorHAnsi"/>
          <w:sz w:val="24"/>
          <w:szCs w:val="24"/>
        </w:rPr>
        <w:t>said Andy Wilson, Director of the Ohio Department of Public Safety</w:t>
      </w:r>
      <w:r>
        <w:rPr>
          <w:sz w:val="24"/>
          <w:szCs w:val="24"/>
        </w:rPr>
        <w:t>. “</w:t>
      </w:r>
      <w:r w:rsidR="00F15C88">
        <w:rPr>
          <w:sz w:val="24"/>
          <w:szCs w:val="24"/>
        </w:rPr>
        <w:t xml:space="preserve">But the other half who wait to get </w:t>
      </w:r>
      <w:r w:rsidR="00F15C88">
        <w:rPr>
          <w:sz w:val="24"/>
          <w:szCs w:val="24"/>
        </w:rPr>
        <w:lastRenderedPageBreak/>
        <w:t>licensed are more likely to be involved in a crash in the first year they have a license. This is proof that driver training makes a difference.”</w:t>
      </w:r>
    </w:p>
    <w:p w14:paraId="329AEBF8" w14:textId="0285E683" w:rsidR="00A45EC4" w:rsidRDefault="00A33DB0" w:rsidP="005A599D">
      <w:pPr>
        <w:rPr>
          <w:sz w:val="24"/>
          <w:szCs w:val="24"/>
        </w:rPr>
      </w:pPr>
      <w:r>
        <w:rPr>
          <w:rFonts w:cstheme="minorHAnsi"/>
          <w:sz w:val="24"/>
          <w:szCs w:val="24"/>
        </w:rPr>
        <w:t>“</w:t>
      </w:r>
      <w:r w:rsidR="00A45EC4">
        <w:rPr>
          <w:rFonts w:cstheme="minorHAnsi"/>
          <w:sz w:val="24"/>
          <w:szCs w:val="24"/>
        </w:rPr>
        <w:t>Driver training plays a crucial role in setting teens up for a successful future</w:t>
      </w:r>
      <w:r>
        <w:rPr>
          <w:rFonts w:cstheme="minorHAnsi"/>
          <w:sz w:val="24"/>
          <w:szCs w:val="24"/>
        </w:rPr>
        <w:t xml:space="preserve">,” </w:t>
      </w:r>
      <w:r>
        <w:rPr>
          <w:sz w:val="24"/>
          <w:szCs w:val="24"/>
        </w:rPr>
        <w:t xml:space="preserve">said </w:t>
      </w:r>
      <w:r w:rsidR="00D619DF">
        <w:rPr>
          <w:sz w:val="24"/>
          <w:szCs w:val="24"/>
        </w:rPr>
        <w:t xml:space="preserve">Emily Davidson, </w:t>
      </w:r>
      <w:r w:rsidR="00757BCC">
        <w:rPr>
          <w:sz w:val="24"/>
          <w:szCs w:val="24"/>
        </w:rPr>
        <w:t xml:space="preserve">OTSO </w:t>
      </w:r>
      <w:r w:rsidR="00D619DF">
        <w:rPr>
          <w:sz w:val="24"/>
          <w:szCs w:val="24"/>
        </w:rPr>
        <w:t>Director</w:t>
      </w:r>
      <w:r>
        <w:rPr>
          <w:sz w:val="24"/>
          <w:szCs w:val="24"/>
        </w:rPr>
        <w:t>. “</w:t>
      </w:r>
      <w:r w:rsidR="00A45EC4">
        <w:rPr>
          <w:sz w:val="24"/>
          <w:szCs w:val="24"/>
        </w:rPr>
        <w:t>By distributing these funds to local jurisdictions, we can address the specific localized needs and resources of the community.”</w:t>
      </w:r>
    </w:p>
    <w:p w14:paraId="612C46D8" w14:textId="48706CEC" w:rsidR="005944B3" w:rsidRPr="004447EB" w:rsidRDefault="004447EB" w:rsidP="005A599D">
      <w:pPr>
        <w:rPr>
          <w:rFonts w:cstheme="minorHAnsi"/>
          <w:sz w:val="24"/>
          <w:szCs w:val="24"/>
        </w:rPr>
      </w:pPr>
      <w:r w:rsidRPr="004447EB">
        <w:rPr>
          <w:rFonts w:cstheme="minorHAnsi"/>
          <w:sz w:val="24"/>
          <w:szCs w:val="24"/>
          <w:shd w:val="clear" w:color="auto" w:fill="FFFFFF"/>
        </w:rPr>
        <w:t>This announcement follows a number of traffic safety initiatives for young drivers announced by The Ohio Traffic Safety Office, including over $4.5 million in funding through the new </w:t>
      </w:r>
      <w:hyperlink r:id="rId6" w:history="1">
        <w:r w:rsidRPr="004447EB">
          <w:rPr>
            <w:rStyle w:val="Hyperlink"/>
            <w:rFonts w:cstheme="minorHAnsi"/>
            <w:sz w:val="24"/>
            <w:szCs w:val="24"/>
            <w:shd w:val="clear" w:color="auto" w:fill="FFFFFF"/>
          </w:rPr>
          <w:t>Creating Opportunities for Driver Education (CODE) Grant</w:t>
        </w:r>
      </w:hyperlink>
      <w:r w:rsidRPr="004447EB">
        <w:rPr>
          <w:rFonts w:cstheme="minorHAnsi"/>
          <w:sz w:val="24"/>
          <w:szCs w:val="24"/>
          <w:shd w:val="clear" w:color="auto" w:fill="FFFFFF"/>
        </w:rPr>
        <w:t xml:space="preserve"> program that supports the expansion of driver training options in underserved areas.</w:t>
      </w:r>
    </w:p>
    <w:p w14:paraId="1AC06F5E" w14:textId="2601A20E" w:rsidR="007E7EC7" w:rsidRPr="007E7EC7" w:rsidRDefault="003A622E" w:rsidP="00D76E00">
      <w:pPr>
        <w:tabs>
          <w:tab w:val="left" w:pos="0"/>
        </w:tabs>
        <w:spacing w:after="120" w:line="240" w:lineRule="auto"/>
        <w:jc w:val="center"/>
        <w:rPr>
          <w:sz w:val="24"/>
          <w:szCs w:val="24"/>
        </w:rPr>
      </w:pPr>
      <w:r w:rsidRPr="003A622E">
        <w:rPr>
          <w:sz w:val="24"/>
          <w:szCs w:val="24"/>
        </w:rPr>
        <w:t>###</w:t>
      </w:r>
      <w:r w:rsidR="007E7EC7">
        <w:rPr>
          <w:sz w:val="24"/>
          <w:szCs w:val="24"/>
        </w:rPr>
        <w:tab/>
      </w:r>
    </w:p>
    <w:p w14:paraId="5797D938" w14:textId="77777777" w:rsidR="007E7EC7" w:rsidRPr="003A622E" w:rsidRDefault="007E7EC7" w:rsidP="003A622E">
      <w:pPr>
        <w:tabs>
          <w:tab w:val="left" w:pos="0"/>
        </w:tabs>
        <w:spacing w:after="120" w:line="240" w:lineRule="auto"/>
        <w:jc w:val="center"/>
        <w:rPr>
          <w:sz w:val="24"/>
          <w:szCs w:val="24"/>
        </w:rPr>
      </w:pPr>
    </w:p>
    <w:p w14:paraId="09C67B6A" w14:textId="5DB95693" w:rsidR="003A622E" w:rsidRPr="003A622E" w:rsidRDefault="003A622E" w:rsidP="003A622E">
      <w:pPr>
        <w:tabs>
          <w:tab w:val="left" w:pos="0"/>
        </w:tabs>
        <w:spacing w:after="120" w:line="240" w:lineRule="auto"/>
        <w:rPr>
          <w:i/>
          <w:iCs/>
          <w:sz w:val="24"/>
          <w:szCs w:val="24"/>
        </w:rPr>
      </w:pPr>
      <w:r w:rsidRPr="003A622E">
        <w:rPr>
          <w:i/>
          <w:iCs/>
          <w:sz w:val="24"/>
          <w:szCs w:val="24"/>
        </w:rPr>
        <w:t xml:space="preserve">As a division within the Ohio Department of Public Safety, </w:t>
      </w:r>
      <w:r w:rsidR="00ED221B">
        <w:rPr>
          <w:i/>
          <w:iCs/>
          <w:sz w:val="24"/>
          <w:szCs w:val="24"/>
        </w:rPr>
        <w:t>the Ohio Traffic Safety Office (OTSO) is dedicated to saving lives and preventing injuries on Ohio’s roads by using creative leadership, innovative education and comprehensive enforcement programs. OTSO strives to work in partnership with local, state and federal entities to advance equity in highway safety programs, ensuring they benefit all road users in Ohio. For FFY202</w:t>
      </w:r>
      <w:r w:rsidR="005944B3">
        <w:rPr>
          <w:i/>
          <w:iCs/>
          <w:sz w:val="24"/>
          <w:szCs w:val="24"/>
        </w:rPr>
        <w:t>4</w:t>
      </w:r>
      <w:r w:rsidR="00ED221B">
        <w:rPr>
          <w:i/>
          <w:iCs/>
          <w:sz w:val="24"/>
          <w:szCs w:val="24"/>
        </w:rPr>
        <w:t>, OTSO awarded over $2</w:t>
      </w:r>
      <w:r w:rsidR="005944B3">
        <w:rPr>
          <w:i/>
          <w:iCs/>
          <w:sz w:val="24"/>
          <w:szCs w:val="24"/>
        </w:rPr>
        <w:t>3</w:t>
      </w:r>
      <w:r w:rsidR="00ED221B">
        <w:rPr>
          <w:i/>
          <w:iCs/>
          <w:sz w:val="24"/>
          <w:szCs w:val="24"/>
        </w:rPr>
        <w:t xml:space="preserve"> million in federal funds to 1</w:t>
      </w:r>
      <w:r w:rsidR="005944B3">
        <w:rPr>
          <w:i/>
          <w:iCs/>
          <w:sz w:val="24"/>
          <w:szCs w:val="24"/>
        </w:rPr>
        <w:t>35</w:t>
      </w:r>
      <w:r w:rsidR="00ED221B">
        <w:rPr>
          <w:i/>
          <w:iCs/>
          <w:sz w:val="24"/>
          <w:szCs w:val="24"/>
        </w:rPr>
        <w:t xml:space="preserve"> Ohio agencies for statewide programming to improve traffic safety and reduce traffic-related fatalities.</w:t>
      </w:r>
    </w:p>
    <w:p w14:paraId="1953F388" w14:textId="77777777" w:rsidR="003A622E" w:rsidRPr="001E5907" w:rsidRDefault="003A622E" w:rsidP="005A599D">
      <w:pPr>
        <w:rPr>
          <w:sz w:val="24"/>
          <w:szCs w:val="24"/>
        </w:rPr>
      </w:pPr>
    </w:p>
    <w:p w14:paraId="7A9F9981" w14:textId="77777777" w:rsidR="00985EAB" w:rsidRPr="00AA2419" w:rsidRDefault="00985EAB" w:rsidP="005A599D">
      <w:pPr>
        <w:rPr>
          <w:i/>
          <w:iCs/>
        </w:rPr>
      </w:pPr>
    </w:p>
    <w:sectPr w:rsidR="00985EAB" w:rsidRPr="00AA24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MS-Bol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99D"/>
    <w:rsid w:val="0002751A"/>
    <w:rsid w:val="000926F1"/>
    <w:rsid w:val="000B0EFC"/>
    <w:rsid w:val="000B11F8"/>
    <w:rsid w:val="000E056B"/>
    <w:rsid w:val="00117C0F"/>
    <w:rsid w:val="00124E2C"/>
    <w:rsid w:val="00125AEB"/>
    <w:rsid w:val="00144ABF"/>
    <w:rsid w:val="001A74B4"/>
    <w:rsid w:val="001B4EAC"/>
    <w:rsid w:val="001C3D4A"/>
    <w:rsid w:val="001E5907"/>
    <w:rsid w:val="001F2FD9"/>
    <w:rsid w:val="0024315C"/>
    <w:rsid w:val="0025080D"/>
    <w:rsid w:val="00295BDC"/>
    <w:rsid w:val="002C08A1"/>
    <w:rsid w:val="002D6A5D"/>
    <w:rsid w:val="002E376D"/>
    <w:rsid w:val="00304637"/>
    <w:rsid w:val="0031041D"/>
    <w:rsid w:val="003574DD"/>
    <w:rsid w:val="00394A87"/>
    <w:rsid w:val="003A622E"/>
    <w:rsid w:val="003D4AB5"/>
    <w:rsid w:val="00412FEB"/>
    <w:rsid w:val="004447EB"/>
    <w:rsid w:val="00461062"/>
    <w:rsid w:val="004F255B"/>
    <w:rsid w:val="005944B3"/>
    <w:rsid w:val="005A599D"/>
    <w:rsid w:val="005F1F7D"/>
    <w:rsid w:val="0060309C"/>
    <w:rsid w:val="006312E8"/>
    <w:rsid w:val="006439EA"/>
    <w:rsid w:val="006B45DA"/>
    <w:rsid w:val="006C4610"/>
    <w:rsid w:val="0072001E"/>
    <w:rsid w:val="00755D7C"/>
    <w:rsid w:val="00757BCC"/>
    <w:rsid w:val="007864D3"/>
    <w:rsid w:val="007B1DBA"/>
    <w:rsid w:val="007E7EC7"/>
    <w:rsid w:val="00805634"/>
    <w:rsid w:val="0081447F"/>
    <w:rsid w:val="008638E2"/>
    <w:rsid w:val="0098278C"/>
    <w:rsid w:val="00985EAB"/>
    <w:rsid w:val="00987750"/>
    <w:rsid w:val="009C7A0A"/>
    <w:rsid w:val="00A33DB0"/>
    <w:rsid w:val="00A45EC4"/>
    <w:rsid w:val="00A543BB"/>
    <w:rsid w:val="00A55208"/>
    <w:rsid w:val="00A75E49"/>
    <w:rsid w:val="00A9548E"/>
    <w:rsid w:val="00AA2419"/>
    <w:rsid w:val="00AA50BD"/>
    <w:rsid w:val="00AE66F0"/>
    <w:rsid w:val="00AF2F7C"/>
    <w:rsid w:val="00AF3966"/>
    <w:rsid w:val="00B44D2D"/>
    <w:rsid w:val="00B6093F"/>
    <w:rsid w:val="00B81DC0"/>
    <w:rsid w:val="00B948F8"/>
    <w:rsid w:val="00BA2A88"/>
    <w:rsid w:val="00BD0AF0"/>
    <w:rsid w:val="00BD2B2A"/>
    <w:rsid w:val="00BE4BBF"/>
    <w:rsid w:val="00C10455"/>
    <w:rsid w:val="00C53001"/>
    <w:rsid w:val="00C66001"/>
    <w:rsid w:val="00CA3E8C"/>
    <w:rsid w:val="00D23B89"/>
    <w:rsid w:val="00D32348"/>
    <w:rsid w:val="00D619DF"/>
    <w:rsid w:val="00D658CA"/>
    <w:rsid w:val="00D76E00"/>
    <w:rsid w:val="00D772E1"/>
    <w:rsid w:val="00D822A4"/>
    <w:rsid w:val="00D845A9"/>
    <w:rsid w:val="00DA6AB6"/>
    <w:rsid w:val="00E52590"/>
    <w:rsid w:val="00EB71A2"/>
    <w:rsid w:val="00EC3BCF"/>
    <w:rsid w:val="00ED221B"/>
    <w:rsid w:val="00F01DB8"/>
    <w:rsid w:val="00F15C88"/>
    <w:rsid w:val="00FA03AD"/>
    <w:rsid w:val="00FA7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E999B"/>
  <w15:chartTrackingRefBased/>
  <w15:docId w15:val="{36BFA7A8-898B-436E-9FDC-339CCD4F9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99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599D"/>
    <w:rPr>
      <w:color w:val="0563C1" w:themeColor="hyperlink"/>
      <w:u w:val="single"/>
    </w:rPr>
  </w:style>
  <w:style w:type="character" w:styleId="UnresolvedMention">
    <w:name w:val="Unresolved Mention"/>
    <w:basedOn w:val="DefaultParagraphFont"/>
    <w:uiPriority w:val="99"/>
    <w:semiHidden/>
    <w:unhideWhenUsed/>
    <w:rsid w:val="003A622E"/>
    <w:rPr>
      <w:color w:val="605E5C"/>
      <w:shd w:val="clear" w:color="auto" w:fill="E1DFDD"/>
    </w:rPr>
  </w:style>
  <w:style w:type="character" w:styleId="FollowedHyperlink">
    <w:name w:val="FollowedHyperlink"/>
    <w:basedOn w:val="DefaultParagraphFont"/>
    <w:uiPriority w:val="99"/>
    <w:semiHidden/>
    <w:unhideWhenUsed/>
    <w:rsid w:val="003A622E"/>
    <w:rPr>
      <w:color w:val="954F72" w:themeColor="followedHyperlink"/>
      <w:u w:val="single"/>
    </w:rPr>
  </w:style>
  <w:style w:type="character" w:styleId="CommentReference">
    <w:name w:val="annotation reference"/>
    <w:basedOn w:val="DefaultParagraphFont"/>
    <w:uiPriority w:val="99"/>
    <w:semiHidden/>
    <w:unhideWhenUsed/>
    <w:rsid w:val="00D32348"/>
    <w:rPr>
      <w:sz w:val="16"/>
      <w:szCs w:val="16"/>
    </w:rPr>
  </w:style>
  <w:style w:type="paragraph" w:styleId="CommentText">
    <w:name w:val="annotation text"/>
    <w:basedOn w:val="Normal"/>
    <w:link w:val="CommentTextChar"/>
    <w:uiPriority w:val="99"/>
    <w:semiHidden/>
    <w:unhideWhenUsed/>
    <w:rsid w:val="00D32348"/>
    <w:pPr>
      <w:spacing w:line="240" w:lineRule="auto"/>
    </w:pPr>
    <w:rPr>
      <w:sz w:val="20"/>
      <w:szCs w:val="20"/>
    </w:rPr>
  </w:style>
  <w:style w:type="character" w:customStyle="1" w:styleId="CommentTextChar">
    <w:name w:val="Comment Text Char"/>
    <w:basedOn w:val="DefaultParagraphFont"/>
    <w:link w:val="CommentText"/>
    <w:uiPriority w:val="99"/>
    <w:semiHidden/>
    <w:rsid w:val="00D32348"/>
    <w:rPr>
      <w:sz w:val="20"/>
      <w:szCs w:val="20"/>
    </w:rPr>
  </w:style>
  <w:style w:type="paragraph" w:styleId="CommentSubject">
    <w:name w:val="annotation subject"/>
    <w:basedOn w:val="CommentText"/>
    <w:next w:val="CommentText"/>
    <w:link w:val="CommentSubjectChar"/>
    <w:uiPriority w:val="99"/>
    <w:semiHidden/>
    <w:unhideWhenUsed/>
    <w:rsid w:val="00D32348"/>
    <w:rPr>
      <w:b/>
      <w:bCs/>
    </w:rPr>
  </w:style>
  <w:style w:type="character" w:customStyle="1" w:styleId="CommentSubjectChar">
    <w:name w:val="Comment Subject Char"/>
    <w:basedOn w:val="CommentTextChar"/>
    <w:link w:val="CommentSubject"/>
    <w:uiPriority w:val="99"/>
    <w:semiHidden/>
    <w:rsid w:val="00D32348"/>
    <w:rPr>
      <w:b/>
      <w:bCs/>
      <w:sz w:val="20"/>
      <w:szCs w:val="20"/>
    </w:rPr>
  </w:style>
  <w:style w:type="paragraph" w:styleId="Revision">
    <w:name w:val="Revision"/>
    <w:hidden/>
    <w:uiPriority w:val="99"/>
    <w:semiHidden/>
    <w:rsid w:val="002C08A1"/>
    <w:pPr>
      <w:spacing w:after="0" w:line="240" w:lineRule="auto"/>
    </w:pPr>
  </w:style>
  <w:style w:type="table" w:styleId="TableGrid">
    <w:name w:val="Table Grid"/>
    <w:basedOn w:val="TableNormal"/>
    <w:uiPriority w:val="39"/>
    <w:rsid w:val="00BE4B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956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otso.ohio.gov/home/news-and-events/all-news/governor-dewine-announces-four-point-five-million-in-grants-to-increase-driver-training-options-for-teens" TargetMode="External"/><Relationship Id="rId5" Type="http://schemas.openxmlformats.org/officeDocument/2006/relationships/hyperlink" Target="mailto:jlconverse@dps.ohio.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87429-2616-4C8E-8F86-1781C53D4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3</Pages>
  <Words>802</Words>
  <Characters>4577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ODPS</Company>
  <LinksUpToDate>false</LinksUpToDate>
  <CharactersWithSpaces>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Converse, Judith</dc:creator>
  <cp:keywords/>
  <dc:description/>
  <cp:lastModifiedBy>Converse, Judith</cp:lastModifiedBy>
  <cp:revision>7</cp:revision>
  <dcterms:created xsi:type="dcterms:W3CDTF">2024-04-02T18:51:00Z</dcterms:created>
  <dcterms:modified xsi:type="dcterms:W3CDTF">2024-04-15T11:49:00Z</dcterms:modified>
</cp:coreProperties>
</file>